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0"/>
                <w:szCs w:val="40"/>
              </w:rPr>
              <w:t xml:space="preserve">AeroBin  ·  ESG Impact Report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color w:val="00D4AA"/>
                <w:sz w:val="22"/>
                <w:szCs w:val="22"/>
              </w:rPr>
              <w:t xml:space="preserve">Predicting Pune’s Pollution Before It Starts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494A7"/>
                <w:sz w:val="15"/>
                <w:szCs w:val="15"/>
              </w:rPr>
              <w:t xml:space="preserve">ESG Framework  ·  9 Metrics  ·  3 Pillars  ·  SustainAI Internship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Zaid Khan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color w:val="8494A7"/>
                <w:sz w:val="15"/>
                <w:szCs w:val="15"/>
              </w:rPr>
              <w:t xml:space="preserve">AKI’s Poona College, Pune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494A7"/>
                <w:sz w:val="15"/>
                <w:szCs w:val="15"/>
              </w:rPr>
              <w:t xml:space="preserve">CPCB AQI data 2015–2025</w:t>
            </w:r>
          </w:p>
        </w:tc>
      </w:tr>
    </w:tbl>
    <w:p>
      <w:pPr>
        <w:spacing w:after="120" w:before="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01  /  ENVIRONMENTAL METRICS</w:t>
      </w:r>
    </w:p>
    <w:p>
      <w:pPr>
        <w:pBdr>
          <w:bottom w:val="single" w:color="C8EAE0" w:sz="6" w:space="1"/>
        </w:pBdr>
        <w:spacing w:after="100" w:before="0"/>
      </w:pPr>
    </w:p>
    <w:p>
      <w:pPr>
        <w:spacing w:after="70" w:before="0"/>
      </w:pPr>
      <w:r>
        <w:rPr>
          <w:rFonts w:ascii="Calibri" w:cs="Calibri" w:eastAsia="Calibri" w:hAnsi="Calibri"/>
          <w:color w:val="3D4A5C"/>
          <w:sz w:val="19"/>
          <w:szCs w:val="19"/>
        </w:rPr>
        <w:t xml:space="preserve">Three metrics tied directly to AeroBin’s core mechanism: predicting and preventing open waste burning. Baseline values use CPCB 2022–24 averages and PMC pilot-ward estimates.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8"/>
                <w:szCs w:val="18"/>
              </w:rPr>
              <w:t xml:space="preserve">E1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PM2.5 Reduction (µg/m³)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CPCB station readings in pilot wards vs. control wards, Oct–Feb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CPCB AQI API — PM2.5 channel, 5-station average across pilot wards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Weekly during burning season (Oct–Feb)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~85 µg/m³ avg. PM2.5 in Pune winter (CPCB 2022–24)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~68 µg/m³  (↑20% in the open-burning-attributable share)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8"/>
                <w:szCs w:val="18"/>
              </w:rPr>
              <w:t xml:space="preserve">E2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Waste Diverted from Burning (tonnes/month)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PMC collection logs: total waste collected from High-risk wards before burning window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PMC dispatch records + bin sensor weight logs (pilot bins)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Monthly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~12 tonnes/month escapes collection in pilot wards (estimated)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≤3 tonnes/month (↑75% uncollected waste in High-risk wards)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8"/>
                <w:szCs w:val="18"/>
              </w:rPr>
              <w:t xml:space="preserve">E3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Truck Fuel Saved (litres/month)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Diesel logged per route before vs. after model-driven routing; fewer false dispatches = fewer wasted trips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PMC fleet fuel logs; GPS route distance per trip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Monthly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~180L/month wasted on blanket dispatch across pilot wards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≤90L/month (↑50% via precision dispatch)</w:t>
            </w:r>
          </w:p>
        </w:tc>
      </w:tr>
    </w:tbl>
    <w:p>
      <w:pPr>
        <w:spacing w:after="140" w:before="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02  /  SOCIAL METRICS</w:t>
      </w:r>
    </w:p>
    <w:p>
      <w:pPr>
        <w:pBdr>
          <w:bottom w:val="single" w:color="C0D8EB" w:sz="6" w:space="1"/>
        </w:pBdr>
        <w:spacing w:after="100" w:before="0"/>
      </w:pPr>
    </w:p>
    <w:p>
      <w:pPr>
        <w:spacing w:after="70" w:before="0"/>
      </w:pPr>
      <w:r>
        <w:rPr>
          <w:rFonts w:ascii="Calibri" w:cs="Calibri" w:eastAsia="Calibri" w:hAnsi="Calibri"/>
          <w:color w:val="3D4A5C"/>
          <w:sz w:val="19"/>
          <w:szCs w:val="19"/>
        </w:rPr>
        <w:t xml:space="preserve">Three metrics measuring human health, behaviour change, and equity of protection across wards.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Respiratory Complaint Rate (cases/month)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PMC health centres in pilot wards vs. control wards (Oct–Feb)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PHC monthly OPD logs, ICD-10 code J00–J99 (respiratory)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Monthly during burning season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~38 respiratory cases/month per ward (NFHS-5 Pune proxy)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≤28 cases/month (↑26% in pilot wards)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SMS Adoption Rate (%)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% of High-risk SMS recipients who logged a dump-slot use within 48 hrs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Dump-site registration logs matched to SMS dispatch records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Weekly during pilot (12 weeks)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0% (no current intervention baseline)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≥25% adoption by end of 12-week pilot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Model Accuracy Equity Gap (%)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Compare model precision in low-income wards (sparse sensors) vs. higher-income wards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Per-ward model precision from confusion matrix; ward income classification (PMC profiles)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Once per season (post-season model review)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Unknown — gap not currently measured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≤10% precision gap between richest and poorest pilot wards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03  /  GOVERNANCE METRICS</w:t>
      </w:r>
    </w:p>
    <w:p>
      <w:pPr>
        <w:pBdr>
          <w:bottom w:val="single" w:color="E8DDA0" w:sz="6" w:space="1"/>
        </w:pBdr>
        <w:spacing w:after="100" w:before="0"/>
      </w:pPr>
    </w:p>
    <w:p>
      <w:pPr>
        <w:spacing w:after="70" w:before="0"/>
      </w:pPr>
      <w:r>
        <w:rPr>
          <w:rFonts w:ascii="Calibri" w:cs="Calibri" w:eastAsia="Calibri" w:hAnsi="Calibri"/>
          <w:color w:val="3D4A5C"/>
          <w:sz w:val="19"/>
          <w:szCs w:val="19"/>
        </w:rPr>
        <w:t xml:space="preserve">Three metrics measuring auditability of AI decisions, institutional follow-through, and data transparency.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8"/>
                <w:szCs w:val="18"/>
              </w:rPr>
              <w:t xml:space="preserve">G1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Model Audit Trail Coverage (%)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% of dispatch decisions that include a logged burn-risk score + top-3 features (logistic regression outputs these natively)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Model inference log: ward ID, score, timestamp, top features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Continuous (logged per inference); reviewed monthly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0% — rule-based system leaves no audit trail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100% of dispatch decisions logged and auditable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8"/>
                <w:szCs w:val="18"/>
              </w:rPr>
              <w:t xml:space="preserve">G2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PMC Alert Response Rate (%)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% of High-risk alerts (score ≥70) that resulted in a PMC dispatch within 24 hrs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Model alert log vs. PMC dispatch records — matched by ward + date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Weekly during pilot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Unknown — no alert system exists yet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≥80% of High-risk alerts actioned within 24 hrs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8"/>
                <w:szCs w:val="18"/>
              </w:rPr>
              <w:t xml:space="preserve">G3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Open Data Verifiability Score (binary)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How: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Are all model inputs (CPCB AQI, IMD weather) publicly accessible and independently reproducible?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Data: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CPCB API status, IMD data licence, ward profile source documentation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Frequency:  </w:t>
            </w: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Annual audit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6"/>
                <w:szCs w:val="16"/>
              </w:rPr>
              <w:t xml:space="preserve">Current State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Partial — CPCB is open; IMD and ward data need documentation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17"/>
                <w:szCs w:val="17"/>
              </w:rPr>
              <w:t xml:space="preserve">100% of inputs publicly cited and independently verifiable</w:t>
            </w:r>
          </w:p>
        </w:tc>
      </w:tr>
    </w:tbl>
    <w:p>
      <w:pPr>
        <w:spacing w:after="130" w:before="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00B390"/>
          <w:sz w:val="20"/>
          <w:szCs w:val="20"/>
        </w:rPr>
        <w:t xml:space="preserve">04  /  KEY INSIGHTS &amp; DECISIONS</w:t>
      </w:r>
    </w:p>
    <w:p>
      <w:pPr>
        <w:pBdr>
          <w:bottom w:val="single" w:color="E0E8F0" w:sz="6" w:space="1"/>
        </w:pBdr>
        <w:spacing w:after="100" w:before="0"/>
      </w:pP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3D4A5C"/>
          <w:sz w:val="19"/>
          <w:szCs w:val="19"/>
        </w:rPr>
        <w:t xml:space="preserve">The nine metrics form a diagnostic system, not just a scorecard.</w:t>
      </w:r>
    </w:p>
    <w:p>
      <w:pPr>
        <w:spacing w:after="50" w:before="0"/>
      </w:pPr>
    </w:p>
    <w:p>
      <w:pPr>
        <w:spacing w:after="55" w:before="0"/>
        <w:ind w:left="360" w:hanging="360"/>
      </w:pPr>
      <w:r>
        <w:rPr>
          <w:rFonts w:ascii="Calibri" w:cs="Calibri" w:eastAsia="Calibri" w:hAnsi="Calibri"/>
          <w:b/>
          <w:bCs/>
          <w:color w:val="0D7A5F"/>
          <w:sz w:val="19"/>
          <w:szCs w:val="19"/>
        </w:rPr>
        <w:t xml:space="preserve">INSIGHT 01 · Environmental:  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E1 + E2 together tell you if the model or adoption is the bottleneck. PM2.5 up + waste diverted up = other polluters dominate. Both down = model is wrong. Retune thresholds.</w:t>
      </w:r>
    </w:p>
    <w:p>
      <w:pPr>
        <w:spacing w:after="55" w:before="0"/>
        <w:ind w:left="360" w:hanging="36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INSIGHT 02 · Social:  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S2 adoption rate below 15% by Week 4 = the AI is working but the human layer is failing. The fix is communication design — language, channel, convenience — not the model.</w:t>
      </w:r>
    </w:p>
    <w:p>
      <w:pPr>
        <w:spacing w:after="55" w:before="0"/>
        <w:ind w:left="360" w:hanging="360"/>
      </w:pPr>
      <w:r>
        <w:rPr>
          <w:rFonts w:ascii="Calibri" w:cs="Calibri" w:eastAsia="Calibri" w:hAnsi="Calibri"/>
          <w:b/>
          <w:bCs/>
          <w:color w:val="7D6608"/>
          <w:sz w:val="19"/>
          <w:szCs w:val="19"/>
        </w:rPr>
        <w:t xml:space="preserve">INSIGHT 03 · Governance:  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G2 response rate tells you if PMC is using the system. A model 85% accurate but triggering action only 40% of the time delivers 34% real-world impact. Governance adoption is as critical as model accuracy.</w:t>
      </w:r>
    </w:p>
    <w:p>
      <w:pPr>
        <w:spacing w:after="55" w:before="0"/>
        <w:ind w:left="360" w:hanging="360"/>
      </w:pPr>
      <w:r>
        <w:rPr>
          <w:rFonts w:ascii="Calibri" w:cs="Calibri" w:eastAsia="Calibri" w:hAnsi="Calibri"/>
          <w:b/>
          <w:bCs/>
          <w:color w:val="00B390"/>
          <w:sz w:val="19"/>
          <w:szCs w:val="19"/>
        </w:rPr>
        <w:t xml:space="preserve">INSIGHT 04 · Cross-pillar:  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S3 equity gap is the scale-readiness test. A 20%+ accuracy gap in low-income wards at pilot scale means scaling to 15 PMC zones will entrench inequality. Fix S3 before scaling.</w:t>
      </w:r>
    </w:p>
    <w:p>
      <w:pPr>
        <w:spacing w:after="120" w:before="0"/>
      </w:pPr>
    </w:p>
    <w:p>
      <w:pPr>
        <w:pBdr>
          <w:bottom w:val="single" w:color="00D4AA" w:sz="4" w:space="1"/>
        </w:pBdr>
        <w:spacing w:after="100" w:before="0"/>
      </w:pP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color w:val="8494A7"/>
          <w:sz w:val="15"/>
          <w:szCs w:val="15"/>
        </w:rPr>
        <w:t xml:space="preserve">AeroBin ESG Impact Report  ·  Zaid Khan  ·  SustainAI Internship  ·  CPCB AQI data 2015–2025</w:t>
      </w:r>
    </w:p>
    <w:sectPr>
      <w:pgSz w:w="12240" w:h="15840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A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</w:pPr>
    <w:rPr>
      <w:rFonts w:ascii="Cambria" w:cs="Cambria" w:eastAsia="Cambria" w:hAnsi="Cambria"/>
      <w:b/>
      <w:bCs/>
      <w:color w:val="1A1A2E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2026-06-26T00:27:03.732Z</dcterms:created>
  <dcterms:modified xsi:type="dcterms:W3CDTF">2026-06-26T00:27:03.732Z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