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VMA2 encodes the B subunit of the yeast V-ATPase V1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6, 8, 9 and 10. The B subunitof the V-ATPase contains nucleotide binding sites, but does not catalyze ATP hydrolysis. Some vma2 point mutations reduce the ATPase and proton transport activities of the V-ATPase holoenzyme, suggesting that ATP binding to the noncatalytic sites may regulate V-ATPase activity.26 PH,PR,CC, The vma2 null mutation is synthetically lethal with mutations that cause defects in endocytosis. V-ATPases have been identified in numerous eukaryotes; the vma2 null phenotype can be fully complemented by expression of the Candida tropicalis V-ATPase B subunit, and partially complemented by the bovine B subunit.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