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F02A4" w14:textId="77777777" w:rsidR="008A4A2D" w:rsidRDefault="00DD4CFA">
      <w:pPr>
        <w:pStyle w:val="Heading1"/>
      </w:pPr>
      <w:r>
        <w:t>1. Câu h</w:t>
      </w:r>
      <w:r>
        <w:t>ỏ</w:t>
      </w:r>
      <w:r>
        <w:t>i nghiên c</w:t>
      </w:r>
      <w:r>
        <w:t>ứ</w:t>
      </w:r>
      <w:r>
        <w:t>u và m</w:t>
      </w:r>
      <w:r>
        <w:t>ụ</w:t>
      </w:r>
      <w:r>
        <w:t>c tiêu</w:t>
      </w:r>
    </w:p>
    <w:p w14:paraId="1F952133" w14:textId="77777777" w:rsidR="008A4A2D" w:rsidRDefault="00DD4CFA">
      <w:pPr>
        <w:spacing w:after="80" w:line="259" w:lineRule="auto"/>
      </w:pPr>
      <w:r>
        <w:t>Câu hỏi nghiên cứu: Ưu điểm, hạn chế của cơ sở dữ liệu SQL và NoSQL là gì khi triển khai ứng dụng công nghệ thông tin, đặc biệt xét theo mô hình dữ liệu, khả năng mở rộng, hiệu năng và tính nhất quán dữ liệu?</w:t>
      </w:r>
    </w:p>
    <w:p w14:paraId="37277047" w14:textId="77777777" w:rsidR="008A4A2D" w:rsidRDefault="00DD4CFA">
      <w:pPr>
        <w:spacing w:after="80" w:line="259" w:lineRule="auto"/>
      </w:pPr>
      <w:r>
        <w:t>Mục tiêu là tổng hợp các khác biệt kỹ thuật dựa trên tài liệu học thuật và tài liệu kỹ thuật chính thức; đánh giá độ tin cậy của nguồn bằng CRAAP; nhận diện giới hạn và thiên kiến có thể có, nhất là ở tài liệu do nhà cung cấp công nghệ công bố. Báo cáo không giả định có một hệ quản trị phù hợp cho mọi trường hợp.</w:t>
      </w:r>
    </w:p>
    <w:p w14:paraId="7F0B29F5" w14:textId="77777777" w:rsidR="008A4A2D" w:rsidRDefault="00DD4CFA">
      <w:pPr>
        <w:pStyle w:val="Heading1"/>
      </w:pPr>
      <w:r>
        <w:t>2. T</w:t>
      </w:r>
      <w:r>
        <w:t>ừ</w:t>
      </w:r>
      <w:r>
        <w:t xml:space="preserve"> khóa và chi</w:t>
      </w:r>
      <w:r>
        <w:t>ế</w:t>
      </w:r>
      <w:r>
        <w:t>n lư</w:t>
      </w:r>
      <w:r>
        <w:t>ợ</w:t>
      </w:r>
      <w:r>
        <w:t>c tìm ki</w:t>
      </w:r>
      <w:r>
        <w:t>ế</w:t>
      </w:r>
      <w:r>
        <w:t>m</w:t>
      </w:r>
    </w:p>
    <w:p w14:paraId="6A5597DC" w14:textId="77777777" w:rsidR="008A4A2D" w:rsidRDefault="00DD4CFA">
      <w:pPr>
        <w:spacing w:after="80" w:line="259" w:lineRule="auto"/>
      </w:pPr>
      <w:r>
        <w:t>Từ khóa sử dụng: (1) “SQL vs NoSQL comparative study”; (2) “SQL NoSQL scalability consistency”; (3) “relational and non-relational database performance”; (4) “MongoDB sharding documentation”; (5) “database consistency transactions”.</w:t>
      </w:r>
    </w:p>
    <w:p w14:paraId="70AFB680" w14:textId="77777777" w:rsidR="008A4A2D" w:rsidRDefault="00DD4CFA">
      <w:pPr>
        <w:spacing w:after="80" w:line="259" w:lineRule="auto"/>
      </w:pPr>
      <w:r>
        <w:t xml:space="preserve">Chiến lược: kết hợp cụm từ chính xác “SQL vs NoSQL” với các khía cạnh “scalability”, “consistency”, “performance”; ưu tiên bài báo học thuật, bài tổng quan có mô tả phương pháp và tài liệu kỹ thuật chính thức. Truy vấn có toán tử hoặc giới hạn được cân nhắc: “SQL vs NoSQL” scalability consistency; site:mongodb.com/docs sharding; và tìm bài dạng PDF hoặc bài có DOI. Nguồn được chọn khi có tác giả/tổ chức, thông tin xuất bản hoặc trang tài liệu rõ ràng, nội dung trực tiếp liên quan câu hỏi. Tài liệu nhà cung </w:t>
      </w:r>
      <w:r>
        <w:t>cấp được dùng để xác nhận chức năng sản phẩm, không dùng riêng lẻ để kết luận so sánh toàn ngành.</w:t>
      </w:r>
    </w:p>
    <w:p w14:paraId="1FF935B4" w14:textId="77777777" w:rsidR="008A4A2D" w:rsidRDefault="00DD4CFA">
      <w:pPr>
        <w:pStyle w:val="Heading1"/>
      </w:pPr>
      <w:r>
        <w:t>3. Đánh giá ngu</w:t>
      </w:r>
      <w:r>
        <w:t>ồ</w:t>
      </w:r>
      <w:r>
        <w:t>n theo CRAAP</w:t>
      </w:r>
    </w:p>
    <w:p w14:paraId="368DEEC4" w14:textId="77777777" w:rsidR="008A4A2D" w:rsidRDefault="00DD4CFA">
      <w:pPr>
        <w:spacing w:after="80" w:line="259" w:lineRule="auto"/>
      </w:pPr>
      <w:r>
        <w:t>Thang điểm 1–5: 1 = rất hạn chế; 2 = hạn chế; 3 = đạt mức cơ bản; 4 = tốt; 5 = rất tốt. Điểm là đánh giá phục vụ bài tập dựa trên thông tin truy cập được, không phải chứng nhận chất lượng tuyệt đối. CRAAP gồm Tính thời sự (Currency), Liên quan (Relevance), Uy quyền (Authority), Chính xác (Accuracy), Mục đích (Purpose).</w:t>
      </w:r>
    </w:p>
    <w:tbl>
      <w:tblPr>
        <w:tblStyle w:val="TableGrid"/>
        <w:tblW w:w="0" w:type="auto"/>
        <w:jc w:val="center"/>
        <w:tblLook w:val="04A0" w:firstRow="1" w:lastRow="0" w:firstColumn="1" w:lastColumn="0" w:noHBand="0" w:noVBand="1"/>
      </w:tblPr>
      <w:tblGrid>
        <w:gridCol w:w="519"/>
        <w:gridCol w:w="2452"/>
        <w:gridCol w:w="683"/>
        <w:gridCol w:w="685"/>
        <w:gridCol w:w="688"/>
        <w:gridCol w:w="689"/>
        <w:gridCol w:w="683"/>
        <w:gridCol w:w="3671"/>
      </w:tblGrid>
      <w:tr w:rsidR="008A4A2D" w14:paraId="03C04CBC" w14:textId="77777777">
        <w:trPr>
          <w:jc w:val="center"/>
        </w:trPr>
        <w:tc>
          <w:tcPr>
            <w:tcW w:w="504" w:type="dxa"/>
            <w:shd w:val="clear" w:color="auto" w:fill="D9EAF7"/>
            <w:vAlign w:val="center"/>
          </w:tcPr>
          <w:p w14:paraId="7E0DADC4" w14:textId="77777777" w:rsidR="008A4A2D" w:rsidRDefault="00DD4CFA">
            <w:r>
              <w:rPr>
                <w:b/>
                <w:sz w:val="16"/>
              </w:rPr>
              <w:t>STT</w:t>
            </w:r>
          </w:p>
        </w:tc>
        <w:tc>
          <w:tcPr>
            <w:tcW w:w="2520" w:type="dxa"/>
            <w:shd w:val="clear" w:color="auto" w:fill="D9EAF7"/>
            <w:vAlign w:val="center"/>
          </w:tcPr>
          <w:p w14:paraId="6DD02CDD" w14:textId="77777777" w:rsidR="008A4A2D" w:rsidRDefault="00DD4CFA">
            <w:r>
              <w:rPr>
                <w:b/>
                <w:sz w:val="16"/>
              </w:rPr>
              <w:t>Nguồn tài liệu</w:t>
            </w:r>
          </w:p>
        </w:tc>
        <w:tc>
          <w:tcPr>
            <w:tcW w:w="691" w:type="dxa"/>
            <w:shd w:val="clear" w:color="auto" w:fill="D9EAF7"/>
            <w:vAlign w:val="center"/>
          </w:tcPr>
          <w:p w14:paraId="66561371" w14:textId="77777777" w:rsidR="008A4A2D" w:rsidRDefault="00DD4CFA">
            <w:r>
              <w:rPr>
                <w:b/>
                <w:sz w:val="16"/>
              </w:rPr>
              <w:t>Thời sự</w:t>
            </w:r>
          </w:p>
        </w:tc>
        <w:tc>
          <w:tcPr>
            <w:tcW w:w="691" w:type="dxa"/>
            <w:shd w:val="clear" w:color="auto" w:fill="D9EAF7"/>
            <w:vAlign w:val="center"/>
          </w:tcPr>
          <w:p w14:paraId="0F34CB51" w14:textId="77777777" w:rsidR="008A4A2D" w:rsidRDefault="00DD4CFA">
            <w:r>
              <w:rPr>
                <w:b/>
                <w:sz w:val="16"/>
              </w:rPr>
              <w:t>Liên quan</w:t>
            </w:r>
          </w:p>
        </w:tc>
        <w:tc>
          <w:tcPr>
            <w:tcW w:w="691" w:type="dxa"/>
            <w:shd w:val="clear" w:color="auto" w:fill="D9EAF7"/>
            <w:vAlign w:val="center"/>
          </w:tcPr>
          <w:p w14:paraId="7768A02A" w14:textId="77777777" w:rsidR="008A4A2D" w:rsidRDefault="00DD4CFA">
            <w:r>
              <w:rPr>
                <w:b/>
                <w:sz w:val="16"/>
              </w:rPr>
              <w:t>Uy quyền</w:t>
            </w:r>
          </w:p>
        </w:tc>
        <w:tc>
          <w:tcPr>
            <w:tcW w:w="691" w:type="dxa"/>
            <w:shd w:val="clear" w:color="auto" w:fill="D9EAF7"/>
            <w:vAlign w:val="center"/>
          </w:tcPr>
          <w:p w14:paraId="03D55EE0" w14:textId="77777777" w:rsidR="008A4A2D" w:rsidRDefault="00DD4CFA">
            <w:r>
              <w:rPr>
                <w:b/>
                <w:sz w:val="16"/>
              </w:rPr>
              <w:t>Chính xác</w:t>
            </w:r>
          </w:p>
        </w:tc>
        <w:tc>
          <w:tcPr>
            <w:tcW w:w="691" w:type="dxa"/>
            <w:shd w:val="clear" w:color="auto" w:fill="D9EAF7"/>
            <w:vAlign w:val="center"/>
          </w:tcPr>
          <w:p w14:paraId="2BA57558" w14:textId="77777777" w:rsidR="008A4A2D" w:rsidRDefault="00DD4CFA">
            <w:r>
              <w:rPr>
                <w:b/>
                <w:sz w:val="16"/>
              </w:rPr>
              <w:t>Mục đích</w:t>
            </w:r>
          </w:p>
        </w:tc>
        <w:tc>
          <w:tcPr>
            <w:tcW w:w="3816" w:type="dxa"/>
            <w:shd w:val="clear" w:color="auto" w:fill="D9EAF7"/>
            <w:vAlign w:val="center"/>
          </w:tcPr>
          <w:p w14:paraId="05936CC4" w14:textId="77777777" w:rsidR="008A4A2D" w:rsidRDefault="00DD4CFA">
            <w:r>
              <w:rPr>
                <w:b/>
                <w:sz w:val="16"/>
              </w:rPr>
              <w:t>Nhận xét chung</w:t>
            </w:r>
          </w:p>
        </w:tc>
      </w:tr>
      <w:tr w:rsidR="008A4A2D" w14:paraId="0205878F" w14:textId="77777777">
        <w:trPr>
          <w:jc w:val="center"/>
        </w:trPr>
        <w:tc>
          <w:tcPr>
            <w:tcW w:w="504" w:type="dxa"/>
            <w:vAlign w:val="center"/>
          </w:tcPr>
          <w:p w14:paraId="034C7E40" w14:textId="77777777" w:rsidR="008A4A2D" w:rsidRDefault="00DD4CFA">
            <w:r>
              <w:rPr>
                <w:sz w:val="16"/>
              </w:rPr>
              <w:t>1</w:t>
            </w:r>
          </w:p>
        </w:tc>
        <w:tc>
          <w:tcPr>
            <w:tcW w:w="2520" w:type="dxa"/>
            <w:vAlign w:val="center"/>
          </w:tcPr>
          <w:p w14:paraId="28940856" w14:textId="77777777" w:rsidR="008A4A2D" w:rsidRDefault="00DD4CFA">
            <w:r>
              <w:rPr>
                <w:sz w:val="16"/>
              </w:rPr>
              <w:t>Cattell, “Scalable SQL and NoSQL Data Stores”, ACM SIGMOD Record, 2011 [1]</w:t>
            </w:r>
          </w:p>
        </w:tc>
        <w:tc>
          <w:tcPr>
            <w:tcW w:w="691" w:type="dxa"/>
            <w:vAlign w:val="center"/>
          </w:tcPr>
          <w:p w14:paraId="52108FBA" w14:textId="77777777" w:rsidR="008A4A2D" w:rsidRDefault="00DD4CFA">
            <w:r>
              <w:rPr>
                <w:sz w:val="16"/>
              </w:rPr>
              <w:t>2</w:t>
            </w:r>
          </w:p>
        </w:tc>
        <w:tc>
          <w:tcPr>
            <w:tcW w:w="691" w:type="dxa"/>
            <w:vAlign w:val="center"/>
          </w:tcPr>
          <w:p w14:paraId="6066C429" w14:textId="77777777" w:rsidR="008A4A2D" w:rsidRDefault="00DD4CFA">
            <w:r>
              <w:rPr>
                <w:sz w:val="16"/>
              </w:rPr>
              <w:t>5</w:t>
            </w:r>
          </w:p>
        </w:tc>
        <w:tc>
          <w:tcPr>
            <w:tcW w:w="691" w:type="dxa"/>
            <w:vAlign w:val="center"/>
          </w:tcPr>
          <w:p w14:paraId="618040D1" w14:textId="77777777" w:rsidR="008A4A2D" w:rsidRDefault="00DD4CFA">
            <w:r>
              <w:rPr>
                <w:sz w:val="16"/>
              </w:rPr>
              <w:t>4</w:t>
            </w:r>
          </w:p>
        </w:tc>
        <w:tc>
          <w:tcPr>
            <w:tcW w:w="691" w:type="dxa"/>
            <w:vAlign w:val="center"/>
          </w:tcPr>
          <w:p w14:paraId="10438FA9" w14:textId="77777777" w:rsidR="008A4A2D" w:rsidRDefault="00DD4CFA">
            <w:r>
              <w:rPr>
                <w:sz w:val="16"/>
              </w:rPr>
              <w:t>4</w:t>
            </w:r>
          </w:p>
        </w:tc>
        <w:tc>
          <w:tcPr>
            <w:tcW w:w="691" w:type="dxa"/>
            <w:vAlign w:val="center"/>
          </w:tcPr>
          <w:p w14:paraId="0AEAF1EE" w14:textId="77777777" w:rsidR="008A4A2D" w:rsidRDefault="00DD4CFA">
            <w:r>
              <w:rPr>
                <w:sz w:val="16"/>
              </w:rPr>
              <w:t>4</w:t>
            </w:r>
          </w:p>
        </w:tc>
        <w:tc>
          <w:tcPr>
            <w:tcW w:w="3816" w:type="dxa"/>
            <w:vAlign w:val="center"/>
          </w:tcPr>
          <w:p w14:paraId="724FFF64" w14:textId="77777777" w:rsidR="008A4A2D" w:rsidRDefault="00DD4CFA">
            <w:r>
              <w:rPr>
                <w:sz w:val="16"/>
              </w:rPr>
              <w:t>Bài tổng quan chuyên ngành có khung so sánh nhiều chiều và tạp chí học thuật. Tuy nhiên, xuất bản năm 2011 nên chi tiết sản phẩm có thể lỗi thời; tác giả cũng công khai quan hệ tư vấn trong ngành. Phù hợp làm nền tảng khái niệm, cần đối chiếu tài liệu mới.</w:t>
            </w:r>
          </w:p>
        </w:tc>
      </w:tr>
      <w:tr w:rsidR="008A4A2D" w14:paraId="308E8E8A" w14:textId="77777777">
        <w:trPr>
          <w:jc w:val="center"/>
        </w:trPr>
        <w:tc>
          <w:tcPr>
            <w:tcW w:w="504" w:type="dxa"/>
            <w:vAlign w:val="center"/>
          </w:tcPr>
          <w:p w14:paraId="292E1F8A" w14:textId="77777777" w:rsidR="008A4A2D" w:rsidRDefault="00DD4CFA">
            <w:r>
              <w:rPr>
                <w:sz w:val="16"/>
              </w:rPr>
              <w:t>2</w:t>
            </w:r>
          </w:p>
        </w:tc>
        <w:tc>
          <w:tcPr>
            <w:tcW w:w="2520" w:type="dxa"/>
            <w:vAlign w:val="center"/>
          </w:tcPr>
          <w:p w14:paraId="697CB984" w14:textId="77777777" w:rsidR="008A4A2D" w:rsidRDefault="00DD4CFA">
            <w:r>
              <w:rPr>
                <w:sz w:val="16"/>
              </w:rPr>
              <w:t>Afif và cộng sự, “Studi Literatur Komparasi SQL dan NoSQL…”, Jurnal Informatika dan Kesehatan, 2025 [2]</w:t>
            </w:r>
          </w:p>
        </w:tc>
        <w:tc>
          <w:tcPr>
            <w:tcW w:w="691" w:type="dxa"/>
            <w:vAlign w:val="center"/>
          </w:tcPr>
          <w:p w14:paraId="70E5D943" w14:textId="77777777" w:rsidR="008A4A2D" w:rsidRDefault="00DD4CFA">
            <w:r>
              <w:rPr>
                <w:sz w:val="16"/>
              </w:rPr>
              <w:t>5</w:t>
            </w:r>
          </w:p>
        </w:tc>
        <w:tc>
          <w:tcPr>
            <w:tcW w:w="691" w:type="dxa"/>
            <w:vAlign w:val="center"/>
          </w:tcPr>
          <w:p w14:paraId="3CCCD727" w14:textId="77777777" w:rsidR="008A4A2D" w:rsidRDefault="00DD4CFA">
            <w:r>
              <w:rPr>
                <w:sz w:val="16"/>
              </w:rPr>
              <w:t>5</w:t>
            </w:r>
          </w:p>
        </w:tc>
        <w:tc>
          <w:tcPr>
            <w:tcW w:w="691" w:type="dxa"/>
            <w:vAlign w:val="center"/>
          </w:tcPr>
          <w:p w14:paraId="1966B7BB" w14:textId="77777777" w:rsidR="008A4A2D" w:rsidRDefault="00DD4CFA">
            <w:r>
              <w:rPr>
                <w:sz w:val="16"/>
              </w:rPr>
              <w:t>3</w:t>
            </w:r>
          </w:p>
        </w:tc>
        <w:tc>
          <w:tcPr>
            <w:tcW w:w="691" w:type="dxa"/>
            <w:vAlign w:val="center"/>
          </w:tcPr>
          <w:p w14:paraId="14A33C21" w14:textId="77777777" w:rsidR="008A4A2D" w:rsidRDefault="00DD4CFA">
            <w:r>
              <w:rPr>
                <w:sz w:val="16"/>
              </w:rPr>
              <w:t>3</w:t>
            </w:r>
          </w:p>
        </w:tc>
        <w:tc>
          <w:tcPr>
            <w:tcW w:w="691" w:type="dxa"/>
            <w:vAlign w:val="center"/>
          </w:tcPr>
          <w:p w14:paraId="5546847F" w14:textId="77777777" w:rsidR="008A4A2D" w:rsidRDefault="00DD4CFA">
            <w:r>
              <w:rPr>
                <w:sz w:val="16"/>
              </w:rPr>
              <w:t>4</w:t>
            </w:r>
          </w:p>
        </w:tc>
        <w:tc>
          <w:tcPr>
            <w:tcW w:w="3816" w:type="dxa"/>
            <w:vAlign w:val="center"/>
          </w:tcPr>
          <w:p w14:paraId="0D55D30F" w14:textId="77777777" w:rsidR="008A4A2D" w:rsidRDefault="00DD4CFA">
            <w:r>
              <w:rPr>
                <w:sz w:val="16"/>
              </w:rPr>
              <w:t>Bài tổng quan tài liệu gần đây, nêu phương pháp SLR và các khía cạnh dữ liệu, nhất quán, thời gian phản hồi. Trang tạp chí cung cấp DOI và thông tin tác giả; cần xem xét thêm chất lượng quy trình bình duyệt và dữ liệu gốc vì kết quả tổng hợp phụ thuộc nghiên cứu được chọn.</w:t>
            </w:r>
          </w:p>
        </w:tc>
      </w:tr>
      <w:tr w:rsidR="008A4A2D" w14:paraId="1891CD24" w14:textId="77777777">
        <w:trPr>
          <w:jc w:val="center"/>
        </w:trPr>
        <w:tc>
          <w:tcPr>
            <w:tcW w:w="504" w:type="dxa"/>
            <w:vAlign w:val="center"/>
          </w:tcPr>
          <w:p w14:paraId="67FEFE6D" w14:textId="77777777" w:rsidR="008A4A2D" w:rsidRDefault="00DD4CFA">
            <w:r>
              <w:rPr>
                <w:sz w:val="16"/>
              </w:rPr>
              <w:t>3</w:t>
            </w:r>
          </w:p>
        </w:tc>
        <w:tc>
          <w:tcPr>
            <w:tcW w:w="2520" w:type="dxa"/>
            <w:vAlign w:val="center"/>
          </w:tcPr>
          <w:p w14:paraId="3C738193" w14:textId="77777777" w:rsidR="008A4A2D" w:rsidRDefault="00DD4CFA">
            <w:r>
              <w:rPr>
                <w:sz w:val="16"/>
              </w:rPr>
              <w:t>“SQL and NoSQL Database Software Architecture Performance Analysis and Assessments—A Systematic Literature Review”, MDPI, 2023 [3]</w:t>
            </w:r>
          </w:p>
        </w:tc>
        <w:tc>
          <w:tcPr>
            <w:tcW w:w="691" w:type="dxa"/>
            <w:vAlign w:val="center"/>
          </w:tcPr>
          <w:p w14:paraId="363EC669" w14:textId="77777777" w:rsidR="008A4A2D" w:rsidRDefault="00DD4CFA">
            <w:r>
              <w:rPr>
                <w:sz w:val="16"/>
              </w:rPr>
              <w:t>4</w:t>
            </w:r>
          </w:p>
        </w:tc>
        <w:tc>
          <w:tcPr>
            <w:tcW w:w="691" w:type="dxa"/>
            <w:vAlign w:val="center"/>
          </w:tcPr>
          <w:p w14:paraId="214E741A" w14:textId="77777777" w:rsidR="008A4A2D" w:rsidRDefault="00DD4CFA">
            <w:r>
              <w:rPr>
                <w:sz w:val="16"/>
              </w:rPr>
              <w:t>5</w:t>
            </w:r>
          </w:p>
        </w:tc>
        <w:tc>
          <w:tcPr>
            <w:tcW w:w="691" w:type="dxa"/>
            <w:vAlign w:val="center"/>
          </w:tcPr>
          <w:p w14:paraId="59C8C7A2" w14:textId="77777777" w:rsidR="008A4A2D" w:rsidRDefault="00DD4CFA">
            <w:r>
              <w:rPr>
                <w:sz w:val="16"/>
              </w:rPr>
              <w:t>4</w:t>
            </w:r>
          </w:p>
        </w:tc>
        <w:tc>
          <w:tcPr>
            <w:tcW w:w="691" w:type="dxa"/>
            <w:vAlign w:val="center"/>
          </w:tcPr>
          <w:p w14:paraId="069F88EB" w14:textId="77777777" w:rsidR="008A4A2D" w:rsidRDefault="00DD4CFA">
            <w:r>
              <w:rPr>
                <w:sz w:val="16"/>
              </w:rPr>
              <w:t>4</w:t>
            </w:r>
          </w:p>
        </w:tc>
        <w:tc>
          <w:tcPr>
            <w:tcW w:w="691" w:type="dxa"/>
            <w:vAlign w:val="center"/>
          </w:tcPr>
          <w:p w14:paraId="31544489" w14:textId="77777777" w:rsidR="008A4A2D" w:rsidRDefault="00DD4CFA">
            <w:r>
              <w:rPr>
                <w:sz w:val="16"/>
              </w:rPr>
              <w:t>4</w:t>
            </w:r>
          </w:p>
        </w:tc>
        <w:tc>
          <w:tcPr>
            <w:tcW w:w="3816" w:type="dxa"/>
            <w:vAlign w:val="center"/>
          </w:tcPr>
          <w:p w14:paraId="08D61935" w14:textId="77777777" w:rsidR="008A4A2D" w:rsidRDefault="00DD4CFA">
            <w:r>
              <w:rPr>
                <w:sz w:val="16"/>
              </w:rPr>
              <w:t>Bài tổng quan hệ thống tập trung kiến trúc, hiệu năng, khả năng mở rộng, tính sẵn sàng và nhất quán. Có phạm vi nghiên cứu rộng; tuy nhiên kết quả tổng quan kế thừa giới hạn của các nghiên cứu thành phần và không thay thế thử nghiệm trên hệ thống cụ thể.</w:t>
            </w:r>
          </w:p>
        </w:tc>
      </w:tr>
      <w:tr w:rsidR="008A4A2D" w14:paraId="5B56BA93" w14:textId="77777777">
        <w:trPr>
          <w:jc w:val="center"/>
        </w:trPr>
        <w:tc>
          <w:tcPr>
            <w:tcW w:w="504" w:type="dxa"/>
            <w:vAlign w:val="center"/>
          </w:tcPr>
          <w:p w14:paraId="2C778B1D" w14:textId="77777777" w:rsidR="008A4A2D" w:rsidRDefault="00DD4CFA">
            <w:r>
              <w:rPr>
                <w:sz w:val="16"/>
              </w:rPr>
              <w:t>4</w:t>
            </w:r>
          </w:p>
        </w:tc>
        <w:tc>
          <w:tcPr>
            <w:tcW w:w="2520" w:type="dxa"/>
            <w:vAlign w:val="center"/>
          </w:tcPr>
          <w:p w14:paraId="01209162" w14:textId="77777777" w:rsidR="008A4A2D" w:rsidRDefault="00DD4CFA">
            <w:r>
              <w:rPr>
                <w:sz w:val="16"/>
              </w:rPr>
              <w:t>MongoDB, “Sharding—Database Manual” [4]</w:t>
            </w:r>
          </w:p>
        </w:tc>
        <w:tc>
          <w:tcPr>
            <w:tcW w:w="691" w:type="dxa"/>
            <w:vAlign w:val="center"/>
          </w:tcPr>
          <w:p w14:paraId="597618C5" w14:textId="77777777" w:rsidR="008A4A2D" w:rsidRDefault="00DD4CFA">
            <w:r>
              <w:rPr>
                <w:sz w:val="16"/>
              </w:rPr>
              <w:t>5</w:t>
            </w:r>
          </w:p>
        </w:tc>
        <w:tc>
          <w:tcPr>
            <w:tcW w:w="691" w:type="dxa"/>
            <w:vAlign w:val="center"/>
          </w:tcPr>
          <w:p w14:paraId="22A111F0" w14:textId="77777777" w:rsidR="008A4A2D" w:rsidRDefault="00DD4CFA">
            <w:r>
              <w:rPr>
                <w:sz w:val="16"/>
              </w:rPr>
              <w:t>5</w:t>
            </w:r>
          </w:p>
        </w:tc>
        <w:tc>
          <w:tcPr>
            <w:tcW w:w="691" w:type="dxa"/>
            <w:vAlign w:val="center"/>
          </w:tcPr>
          <w:p w14:paraId="1839F75C" w14:textId="77777777" w:rsidR="008A4A2D" w:rsidRDefault="00DD4CFA">
            <w:r>
              <w:rPr>
                <w:sz w:val="16"/>
              </w:rPr>
              <w:t>5</w:t>
            </w:r>
          </w:p>
        </w:tc>
        <w:tc>
          <w:tcPr>
            <w:tcW w:w="691" w:type="dxa"/>
            <w:vAlign w:val="center"/>
          </w:tcPr>
          <w:p w14:paraId="02D34FBB" w14:textId="77777777" w:rsidR="008A4A2D" w:rsidRDefault="00DD4CFA">
            <w:r>
              <w:rPr>
                <w:sz w:val="16"/>
              </w:rPr>
              <w:t>4</w:t>
            </w:r>
          </w:p>
        </w:tc>
        <w:tc>
          <w:tcPr>
            <w:tcW w:w="691" w:type="dxa"/>
            <w:vAlign w:val="center"/>
          </w:tcPr>
          <w:p w14:paraId="7FA65B19" w14:textId="77777777" w:rsidR="008A4A2D" w:rsidRDefault="00DD4CFA">
            <w:r>
              <w:rPr>
                <w:sz w:val="16"/>
              </w:rPr>
              <w:t>2</w:t>
            </w:r>
          </w:p>
        </w:tc>
        <w:tc>
          <w:tcPr>
            <w:tcW w:w="3816" w:type="dxa"/>
            <w:vAlign w:val="center"/>
          </w:tcPr>
          <w:p w14:paraId="2C01C7B2" w14:textId="77777777" w:rsidR="008A4A2D" w:rsidRDefault="00DD4CFA">
            <w:r>
              <w:rPr>
                <w:sz w:val="16"/>
              </w:rPr>
              <w:t>Tài liệu chính thức, mô tả trực tiếp cơ chế phân mảnh ngang, phân phối dữ liệu và điều kiện vận hành. Uy quyền cao đối với chức năng MongoDB; mục đích vừa hướng dẫn vừa hỗ trợ sử dụng sản phẩm nên có thiên hướng nhà cung cấp, không phải so sánh độc lập.</w:t>
            </w:r>
          </w:p>
        </w:tc>
      </w:tr>
      <w:tr w:rsidR="008A4A2D" w14:paraId="5177CF30" w14:textId="77777777">
        <w:trPr>
          <w:jc w:val="center"/>
        </w:trPr>
        <w:tc>
          <w:tcPr>
            <w:tcW w:w="504" w:type="dxa"/>
            <w:vAlign w:val="center"/>
          </w:tcPr>
          <w:p w14:paraId="29407B1C" w14:textId="77777777" w:rsidR="008A4A2D" w:rsidRDefault="00DD4CFA">
            <w:r>
              <w:rPr>
                <w:sz w:val="16"/>
              </w:rPr>
              <w:lastRenderedPageBreak/>
              <w:t>5</w:t>
            </w:r>
          </w:p>
        </w:tc>
        <w:tc>
          <w:tcPr>
            <w:tcW w:w="2520" w:type="dxa"/>
            <w:vAlign w:val="center"/>
          </w:tcPr>
          <w:p w14:paraId="29BFB59E" w14:textId="77777777" w:rsidR="008A4A2D" w:rsidRDefault="00DD4CFA">
            <w:r>
              <w:rPr>
                <w:sz w:val="16"/>
              </w:rPr>
              <w:t>MongoDB, “Data Consistency—Database Manual” [5]</w:t>
            </w:r>
          </w:p>
        </w:tc>
        <w:tc>
          <w:tcPr>
            <w:tcW w:w="691" w:type="dxa"/>
            <w:vAlign w:val="center"/>
          </w:tcPr>
          <w:p w14:paraId="3AA73D13" w14:textId="77777777" w:rsidR="008A4A2D" w:rsidRDefault="00DD4CFA">
            <w:r>
              <w:rPr>
                <w:sz w:val="16"/>
              </w:rPr>
              <w:t>5</w:t>
            </w:r>
          </w:p>
        </w:tc>
        <w:tc>
          <w:tcPr>
            <w:tcW w:w="691" w:type="dxa"/>
            <w:vAlign w:val="center"/>
          </w:tcPr>
          <w:p w14:paraId="3CDED11A" w14:textId="77777777" w:rsidR="008A4A2D" w:rsidRDefault="00DD4CFA">
            <w:r>
              <w:rPr>
                <w:sz w:val="16"/>
              </w:rPr>
              <w:t>5</w:t>
            </w:r>
          </w:p>
        </w:tc>
        <w:tc>
          <w:tcPr>
            <w:tcW w:w="691" w:type="dxa"/>
            <w:vAlign w:val="center"/>
          </w:tcPr>
          <w:p w14:paraId="4B08AC0F" w14:textId="77777777" w:rsidR="008A4A2D" w:rsidRDefault="00DD4CFA">
            <w:r>
              <w:rPr>
                <w:sz w:val="16"/>
              </w:rPr>
              <w:t>5</w:t>
            </w:r>
          </w:p>
        </w:tc>
        <w:tc>
          <w:tcPr>
            <w:tcW w:w="691" w:type="dxa"/>
            <w:vAlign w:val="center"/>
          </w:tcPr>
          <w:p w14:paraId="26BD9E95" w14:textId="77777777" w:rsidR="008A4A2D" w:rsidRDefault="00DD4CFA">
            <w:r>
              <w:rPr>
                <w:sz w:val="16"/>
              </w:rPr>
              <w:t>4</w:t>
            </w:r>
          </w:p>
        </w:tc>
        <w:tc>
          <w:tcPr>
            <w:tcW w:w="691" w:type="dxa"/>
            <w:vAlign w:val="center"/>
          </w:tcPr>
          <w:p w14:paraId="53797984" w14:textId="77777777" w:rsidR="008A4A2D" w:rsidRDefault="00DD4CFA">
            <w:r>
              <w:rPr>
                <w:sz w:val="16"/>
              </w:rPr>
              <w:t>2</w:t>
            </w:r>
          </w:p>
        </w:tc>
        <w:tc>
          <w:tcPr>
            <w:tcW w:w="3816" w:type="dxa"/>
            <w:vAlign w:val="center"/>
          </w:tcPr>
          <w:p w14:paraId="7637B06A" w14:textId="77777777" w:rsidR="008A4A2D" w:rsidRDefault="00DD4CFA">
            <w:r>
              <w:rPr>
                <w:sz w:val="16"/>
              </w:rPr>
              <w:t>Tài liệu chính thức trình bày lựa chọn nhúng dữ liệu, sao chép và giao dịch, đồng thời nêu đánh đổi về dữ liệu cũ và hiệu năng. Có giá trị xác nhận tính năng của MongoDB, nhưng chỉ phản ánh sản phẩm MongoDB và cần đối chiếu nguồn độc lập.</w:t>
            </w:r>
          </w:p>
        </w:tc>
      </w:tr>
    </w:tbl>
    <w:p w14:paraId="7C5447DD" w14:textId="77777777" w:rsidR="008A4A2D" w:rsidRDefault="00DD4CFA">
      <w:pPr>
        <w:pStyle w:val="Heading1"/>
      </w:pPr>
      <w:r>
        <w:t>4. T</w:t>
      </w:r>
      <w:r>
        <w:t>ổ</w:t>
      </w:r>
      <w:r>
        <w:t>ng h</w:t>
      </w:r>
      <w:r>
        <w:t>ợ</w:t>
      </w:r>
      <w:r>
        <w:t>p và phân tích SQL so v</w:t>
      </w:r>
      <w:r>
        <w:t>ớ</w:t>
      </w:r>
      <w:r>
        <w:t>i NoSQL</w:t>
      </w:r>
    </w:p>
    <w:p w14:paraId="4855EAE9" w14:textId="77777777" w:rsidR="008A4A2D" w:rsidRDefault="00DD4CFA">
      <w:pPr>
        <w:spacing w:after="80" w:line="259" w:lineRule="auto"/>
      </w:pPr>
      <w:r>
        <w:t>SQL thường gắn với hệ quản trị cơ sở dữ liệu quan hệ (RDBMS), trong đó dữ liệu được tổ chức thành bảng có cấu trúc, quan hệ và ràng buộc. NoSQL là nhóm nhiều mô hình không quan hệ, bao gồm tài liệu, khóa–giá trị, cột rộng và đồ thị; vì vậy không nên xem NoSQL là một công nghệ duy nhất. Nghiên cứu tổng quan cho thấy cần đối chiếu theo yêu cầu tải và mô hình dữ liệu, thay vì dựa vào khẩu hiệu “nhanh hơn” hoặc “mở rộng tốt hơn” [1]–[3].</w:t>
      </w:r>
    </w:p>
    <w:tbl>
      <w:tblPr>
        <w:tblStyle w:val="TableGrid"/>
        <w:tblW w:w="0" w:type="auto"/>
        <w:jc w:val="center"/>
        <w:tblLook w:val="04A0" w:firstRow="1" w:lastRow="0" w:firstColumn="1" w:lastColumn="0" w:noHBand="0" w:noVBand="1"/>
      </w:tblPr>
      <w:tblGrid>
        <w:gridCol w:w="3356"/>
        <w:gridCol w:w="3357"/>
        <w:gridCol w:w="3357"/>
      </w:tblGrid>
      <w:tr w:rsidR="008A4A2D" w14:paraId="6A11D52A" w14:textId="77777777">
        <w:trPr>
          <w:jc w:val="center"/>
        </w:trPr>
        <w:tc>
          <w:tcPr>
            <w:tcW w:w="3360" w:type="dxa"/>
            <w:shd w:val="clear" w:color="auto" w:fill="D9EAF7"/>
            <w:vAlign w:val="center"/>
          </w:tcPr>
          <w:p w14:paraId="2321CFC7" w14:textId="77777777" w:rsidR="008A4A2D" w:rsidRDefault="00DD4CFA">
            <w:r>
              <w:rPr>
                <w:b/>
                <w:sz w:val="18"/>
              </w:rPr>
              <w:t>Tiêu chí</w:t>
            </w:r>
          </w:p>
        </w:tc>
        <w:tc>
          <w:tcPr>
            <w:tcW w:w="3360" w:type="dxa"/>
            <w:shd w:val="clear" w:color="auto" w:fill="D9EAF7"/>
            <w:vAlign w:val="center"/>
          </w:tcPr>
          <w:p w14:paraId="632CC4AE" w14:textId="77777777" w:rsidR="008A4A2D" w:rsidRDefault="00DD4CFA">
            <w:r>
              <w:rPr>
                <w:b/>
                <w:sz w:val="18"/>
              </w:rPr>
              <w:t>SQL / CSDL quan hệ</w:t>
            </w:r>
          </w:p>
        </w:tc>
        <w:tc>
          <w:tcPr>
            <w:tcW w:w="3360" w:type="dxa"/>
            <w:shd w:val="clear" w:color="auto" w:fill="D9EAF7"/>
            <w:vAlign w:val="center"/>
          </w:tcPr>
          <w:p w14:paraId="47823AAD" w14:textId="77777777" w:rsidR="008A4A2D" w:rsidRDefault="00DD4CFA">
            <w:r>
              <w:rPr>
                <w:b/>
                <w:sz w:val="18"/>
              </w:rPr>
              <w:t>NoSQL / CSDL phi quan hệ</w:t>
            </w:r>
          </w:p>
        </w:tc>
      </w:tr>
      <w:tr w:rsidR="008A4A2D" w14:paraId="1D8D7C0C" w14:textId="77777777">
        <w:trPr>
          <w:jc w:val="center"/>
        </w:trPr>
        <w:tc>
          <w:tcPr>
            <w:tcW w:w="3360" w:type="dxa"/>
            <w:vAlign w:val="center"/>
          </w:tcPr>
          <w:p w14:paraId="492B8FB0" w14:textId="77777777" w:rsidR="008A4A2D" w:rsidRDefault="00DD4CFA">
            <w:r>
              <w:rPr>
                <w:sz w:val="17"/>
              </w:rPr>
              <w:t>Mô hình dữ liệu</w:t>
            </w:r>
          </w:p>
        </w:tc>
        <w:tc>
          <w:tcPr>
            <w:tcW w:w="3360" w:type="dxa"/>
            <w:vAlign w:val="center"/>
          </w:tcPr>
          <w:p w14:paraId="27342E34" w14:textId="77777777" w:rsidR="008A4A2D" w:rsidRDefault="00DD4CFA">
            <w:r>
              <w:rPr>
                <w:sz w:val="17"/>
              </w:rPr>
              <w:t>Bảng, hàng, cột; lược đồ xác định; quan hệ và JOIN hỗ trợ truy vấn nhiều bảng.</w:t>
            </w:r>
          </w:p>
        </w:tc>
        <w:tc>
          <w:tcPr>
            <w:tcW w:w="3360" w:type="dxa"/>
            <w:vAlign w:val="center"/>
          </w:tcPr>
          <w:p w14:paraId="17DD3D83" w14:textId="77777777" w:rsidR="008A4A2D" w:rsidRDefault="00DD4CFA">
            <w:r>
              <w:rPr>
                <w:sz w:val="17"/>
              </w:rPr>
              <w:t>Tùy loại: document, key-value, wide-column, graph; thường linh hoạt hơn về cấu trúc.</w:t>
            </w:r>
          </w:p>
        </w:tc>
      </w:tr>
      <w:tr w:rsidR="008A4A2D" w14:paraId="5E3A5A9D" w14:textId="77777777">
        <w:trPr>
          <w:jc w:val="center"/>
        </w:trPr>
        <w:tc>
          <w:tcPr>
            <w:tcW w:w="3360" w:type="dxa"/>
            <w:vAlign w:val="center"/>
          </w:tcPr>
          <w:p w14:paraId="57DC8757" w14:textId="77777777" w:rsidR="008A4A2D" w:rsidRDefault="00DD4CFA">
            <w:r>
              <w:rPr>
                <w:sz w:val="17"/>
              </w:rPr>
              <w:t>Nhất quán và giao dịch</w:t>
            </w:r>
          </w:p>
        </w:tc>
        <w:tc>
          <w:tcPr>
            <w:tcW w:w="3360" w:type="dxa"/>
            <w:vAlign w:val="center"/>
          </w:tcPr>
          <w:p w14:paraId="4240EA2C" w14:textId="77777777" w:rsidR="008A4A2D" w:rsidRDefault="00DD4CFA">
            <w:r>
              <w:rPr>
                <w:sz w:val="17"/>
              </w:rPr>
              <w:t>Nhiều RDBMS hỗ trợ giao dịch ACID mạnh; hữu ích khi quy tắc dữ liệu và tính toàn vẹn rất quan trọng.</w:t>
            </w:r>
          </w:p>
        </w:tc>
        <w:tc>
          <w:tcPr>
            <w:tcW w:w="3360" w:type="dxa"/>
            <w:vAlign w:val="center"/>
          </w:tcPr>
          <w:p w14:paraId="4F648475" w14:textId="77777777" w:rsidR="008A4A2D" w:rsidRDefault="00DD4CFA">
            <w:r>
              <w:rPr>
                <w:sz w:val="17"/>
              </w:rPr>
              <w:t>Không đồng nhất giữa các hệ. Một số hệ hỗ trợ ACID transactions; mức nhất quán và cách cấu hình tùy sản phẩm. MongoDB hỗ trợ giao dịch nhiều tài liệu nhưng có chi phí vận hành nhất định [5].</w:t>
            </w:r>
          </w:p>
        </w:tc>
      </w:tr>
      <w:tr w:rsidR="008A4A2D" w14:paraId="3787E851" w14:textId="77777777">
        <w:trPr>
          <w:jc w:val="center"/>
        </w:trPr>
        <w:tc>
          <w:tcPr>
            <w:tcW w:w="3360" w:type="dxa"/>
            <w:vAlign w:val="center"/>
          </w:tcPr>
          <w:p w14:paraId="7FB31844" w14:textId="77777777" w:rsidR="008A4A2D" w:rsidRDefault="00DD4CFA">
            <w:r>
              <w:rPr>
                <w:sz w:val="17"/>
              </w:rPr>
              <w:t>Mở rộng</w:t>
            </w:r>
          </w:p>
        </w:tc>
        <w:tc>
          <w:tcPr>
            <w:tcW w:w="3360" w:type="dxa"/>
            <w:vAlign w:val="center"/>
          </w:tcPr>
          <w:p w14:paraId="14B6E3BD" w14:textId="77777777" w:rsidR="008A4A2D" w:rsidRDefault="00DD4CFA">
            <w:r>
              <w:rPr>
                <w:sz w:val="17"/>
              </w:rPr>
              <w:t>Có thể mở rộng dọc; phân vùng, bản sao và một số kiến trúc phân tán cũng hỗ trợ mở rộng ngang, tùy hệ quản trị.</w:t>
            </w:r>
          </w:p>
        </w:tc>
        <w:tc>
          <w:tcPr>
            <w:tcW w:w="3360" w:type="dxa"/>
            <w:vAlign w:val="center"/>
          </w:tcPr>
          <w:p w14:paraId="474B8707" w14:textId="77777777" w:rsidR="008A4A2D" w:rsidRDefault="00DD4CFA">
            <w:r>
              <w:rPr>
                <w:sz w:val="17"/>
              </w:rPr>
              <w:t>Nhiều hệ thiết kế cho phân phối ngang/sharding; cần thiết kế khóa phân mảnh, mạng, bản sao và vận hành phù hợp [4].</w:t>
            </w:r>
          </w:p>
        </w:tc>
      </w:tr>
      <w:tr w:rsidR="008A4A2D" w14:paraId="13A9020F" w14:textId="77777777">
        <w:trPr>
          <w:jc w:val="center"/>
        </w:trPr>
        <w:tc>
          <w:tcPr>
            <w:tcW w:w="3360" w:type="dxa"/>
            <w:vAlign w:val="center"/>
          </w:tcPr>
          <w:p w14:paraId="73E83DEB" w14:textId="77777777" w:rsidR="008A4A2D" w:rsidRDefault="00DD4CFA">
            <w:r>
              <w:rPr>
                <w:sz w:val="17"/>
              </w:rPr>
              <w:t>Truy vấn</w:t>
            </w:r>
          </w:p>
        </w:tc>
        <w:tc>
          <w:tcPr>
            <w:tcW w:w="3360" w:type="dxa"/>
            <w:vAlign w:val="center"/>
          </w:tcPr>
          <w:p w14:paraId="2F9C600D" w14:textId="77777777" w:rsidR="008A4A2D" w:rsidRDefault="00DD4CFA">
            <w:r>
              <w:rPr>
                <w:sz w:val="17"/>
              </w:rPr>
              <w:t>SQL là ngôn ngữ phổ biến, phù hợp truy vấn kết hợp, tổng hợp và dữ liệu có quan hệ phức tạp.</w:t>
            </w:r>
          </w:p>
        </w:tc>
        <w:tc>
          <w:tcPr>
            <w:tcW w:w="3360" w:type="dxa"/>
            <w:vAlign w:val="center"/>
          </w:tcPr>
          <w:p w14:paraId="1D1D99FB" w14:textId="77777777" w:rsidR="008A4A2D" w:rsidRDefault="00DD4CFA">
            <w:r>
              <w:rPr>
                <w:sz w:val="17"/>
              </w:rPr>
              <w:t>API/ngôn ngữ truy vấn phụ thuộc từng loại; truy xuất theo khóa/tài liệu có thể thuận tiện, nhưng liên kết phức tạp tùy hệ và mô hình.</w:t>
            </w:r>
          </w:p>
        </w:tc>
      </w:tr>
      <w:tr w:rsidR="008A4A2D" w14:paraId="535DA585" w14:textId="77777777">
        <w:trPr>
          <w:jc w:val="center"/>
        </w:trPr>
        <w:tc>
          <w:tcPr>
            <w:tcW w:w="3360" w:type="dxa"/>
            <w:vAlign w:val="center"/>
          </w:tcPr>
          <w:p w14:paraId="55C0C50D" w14:textId="77777777" w:rsidR="008A4A2D" w:rsidRDefault="00DD4CFA">
            <w:r>
              <w:rPr>
                <w:sz w:val="17"/>
              </w:rPr>
              <w:t>Lược đồ và thay đổi</w:t>
            </w:r>
          </w:p>
        </w:tc>
        <w:tc>
          <w:tcPr>
            <w:tcW w:w="3360" w:type="dxa"/>
            <w:vAlign w:val="center"/>
          </w:tcPr>
          <w:p w14:paraId="5F546820" w14:textId="77777777" w:rsidR="008A4A2D" w:rsidRDefault="00DD4CFA">
            <w:r>
              <w:rPr>
                <w:sz w:val="17"/>
              </w:rPr>
              <w:t>Ràng buộc lược đồ hỗ trợ chuẩn hóa và kiểm soát dữ liệu; thay đổi cấu trúc cần quản lý migration.</w:t>
            </w:r>
          </w:p>
        </w:tc>
        <w:tc>
          <w:tcPr>
            <w:tcW w:w="3360" w:type="dxa"/>
            <w:vAlign w:val="center"/>
          </w:tcPr>
          <w:p w14:paraId="442B7CC0" w14:textId="77777777" w:rsidR="008A4A2D" w:rsidRDefault="00DD4CFA">
            <w:r>
              <w:rPr>
                <w:sz w:val="17"/>
              </w:rPr>
              <w:t>Lược đồ linh hoạt thuận lợi khi dữ liệu biến đổi; đổi lại ứng dụng có thể phải tự đảm bảo quy tắc và chất lượng dữ liệu.</w:t>
            </w:r>
          </w:p>
        </w:tc>
      </w:tr>
      <w:tr w:rsidR="008A4A2D" w14:paraId="2D530117" w14:textId="77777777">
        <w:trPr>
          <w:jc w:val="center"/>
        </w:trPr>
        <w:tc>
          <w:tcPr>
            <w:tcW w:w="3360" w:type="dxa"/>
            <w:vAlign w:val="center"/>
          </w:tcPr>
          <w:p w14:paraId="4AA3BC01" w14:textId="77777777" w:rsidR="008A4A2D" w:rsidRDefault="00DD4CFA">
            <w:r>
              <w:rPr>
                <w:sz w:val="17"/>
              </w:rPr>
              <w:t>Vận hành</w:t>
            </w:r>
          </w:p>
        </w:tc>
        <w:tc>
          <w:tcPr>
            <w:tcW w:w="3360" w:type="dxa"/>
            <w:vAlign w:val="center"/>
          </w:tcPr>
          <w:p w14:paraId="0670404B" w14:textId="77777777" w:rsidR="008A4A2D" w:rsidRDefault="00DD4CFA">
            <w:r>
              <w:rPr>
                <w:sz w:val="17"/>
              </w:rPr>
              <w:t>Cần tối ưu chỉ mục, truy vấn, sao lưu, phân quyền và năng lực máy chủ; có thể phức tạp ở quy mô phân tán.</w:t>
            </w:r>
          </w:p>
        </w:tc>
        <w:tc>
          <w:tcPr>
            <w:tcW w:w="3360" w:type="dxa"/>
            <w:vAlign w:val="center"/>
          </w:tcPr>
          <w:p w14:paraId="1B5F2D21" w14:textId="77777777" w:rsidR="008A4A2D" w:rsidRDefault="00DD4CFA">
            <w:r>
              <w:rPr>
                <w:sz w:val="17"/>
              </w:rPr>
              <w:t>Sharding và phân phối có thể tăng năng lực nhưng làm tăng độ phức tạp triển khai, giám sát, nhất quán và bảo trì [4].</w:t>
            </w:r>
          </w:p>
        </w:tc>
      </w:tr>
    </w:tbl>
    <w:p w14:paraId="645D8860" w14:textId="77777777" w:rsidR="008A4A2D" w:rsidRDefault="00DD4CFA">
      <w:pPr>
        <w:pStyle w:val="Heading1"/>
      </w:pPr>
      <w:r>
        <w:t>5. Ví d</w:t>
      </w:r>
      <w:r>
        <w:t>ụ</w:t>
      </w:r>
      <w:r>
        <w:t xml:space="preserve"> </w:t>
      </w:r>
      <w:r>
        <w:t>ứ</w:t>
      </w:r>
      <w:r>
        <w:t>ng d</w:t>
      </w:r>
      <w:r>
        <w:t>ụ</w:t>
      </w:r>
      <w:r>
        <w:t>ng trong IT</w:t>
      </w:r>
    </w:p>
    <w:p w14:paraId="7345AD7A" w14:textId="77777777" w:rsidR="008A4A2D" w:rsidRDefault="00DD4CFA">
      <w:pPr>
        <w:spacing w:after="80" w:line="259" w:lineRule="auto"/>
      </w:pPr>
      <w:r>
        <w:t>Hệ thống quản lý điểm sinh viên có sinh viên, lớp, học phần, đăng ký học và điểm số liên kết với nhau. Mô hình quan hệ giúp biểu diễn khóa ngoại, hạn chế dữ liệu không hợp lệ và thực hiện truy vấn như danh sách sinh viên theo lớp và học phần. Vì vậy, RDBMS là một lựa chọn phù hợp khi dữ liệu có cấu trúc và yêu cầu toàn vẹn rõ ràng.</w:t>
      </w:r>
    </w:p>
    <w:p w14:paraId="531D2305" w14:textId="77777777" w:rsidR="008A4A2D" w:rsidRDefault="00DD4CFA">
      <w:pPr>
        <w:spacing w:after="80" w:line="259" w:lineRule="auto"/>
      </w:pPr>
      <w:r>
        <w:t>Ứng dụng ghi nhận sự kiện từ thiết bị IoT hoặc lưu hồ sơ nội dung thay đổi thường xuyên có thể cân nhắc NoSQL dạng tài liệu hoặc wide-column, nhất là khi cần phân phối dữ liệu qua nhiều máy. Tuy vậy, cần kiểm tra cách hệ cụ thể đảm bảo nhất quán, sao lưu, truy vấn, phân quyền và khôi phục. MongoDB mô tả sharding như phương thức phân phối dữ liệu qua nhiều máy, đồng thời nhấn mạnh việc chọn shard key và vận hành cụm cần được hoạch định [4].</w:t>
      </w:r>
    </w:p>
    <w:p w14:paraId="1FD560D8" w14:textId="77777777" w:rsidR="008A4A2D" w:rsidRDefault="00DD4CFA">
      <w:pPr>
        <w:spacing w:after="80" w:line="259" w:lineRule="auto"/>
      </w:pPr>
      <w:r>
        <w:t>Ví dụ trên chỉ minh họa sự phù hợp theo yêu cầu, không phải quy tắc tuyệt đối. SQL không đồng nghĩa chỉ mở rộng dọc, và NoSQL không đồng nghĩa không có giao dịch hay nhất quán. Tài liệu MongoDB xác nhận sản phẩm có cơ chế giao dịch, nhưng cũng nêu giao dịch đa tài liệu/phân tán có thể phát sinh tác động hiệu năng [5].</w:t>
      </w:r>
    </w:p>
    <w:p w14:paraId="57F0F2C4" w14:textId="77777777" w:rsidR="008A4A2D" w:rsidRDefault="00DD4CFA">
      <w:pPr>
        <w:pStyle w:val="Heading1"/>
      </w:pPr>
      <w:r>
        <w:t>6. Nh</w:t>
      </w:r>
      <w:r>
        <w:t>ậ</w:t>
      </w:r>
      <w:r>
        <w:t>n di</w:t>
      </w:r>
      <w:r>
        <w:t>ệ</w:t>
      </w:r>
      <w:r>
        <w:t>n thiên ki</w:t>
      </w:r>
      <w:r>
        <w:t>ế</w:t>
      </w:r>
      <w:r>
        <w:t>n và h</w:t>
      </w:r>
      <w:r>
        <w:t>ạ</w:t>
      </w:r>
      <w:r>
        <w:t>n ch</w:t>
      </w:r>
      <w:r>
        <w:t>ế</w:t>
      </w:r>
      <w:r>
        <w:t xml:space="preserve"> ngu</w:t>
      </w:r>
      <w:r>
        <w:t>ồ</w:t>
      </w:r>
      <w:r>
        <w:t>n</w:t>
      </w:r>
    </w:p>
    <w:p w14:paraId="519E412A" w14:textId="77777777" w:rsidR="008A4A2D" w:rsidRDefault="00DD4CFA">
      <w:pPr>
        <w:spacing w:after="80" w:line="259" w:lineRule="auto"/>
      </w:pPr>
      <w:r>
        <w:t xml:space="preserve">Tài liệu nhà cung cấp (chẳng hạn MongoDB) có chuyên môn và thông tin triển khai chi tiết, nhưng mục đích có thể bao gồm quảng bá sản phẩm. Do đó, các tuyên bố về lợi thế nên được đọc trong đúng phạm vi tính năng đang mô tả, rồi đối chiếu với bài tổng quan độc lập và thử nghiệm có phương pháp. Ngược </w:t>
      </w:r>
      <w:r>
        <w:lastRenderedPageBreak/>
        <w:t>lại, bài học thuật cũng không hoàn toàn miễn nhiễm thiên kiến: lựa chọn hệ quản trị, phiên bản, phần cứng, kích thước dữ liệu, truy vấn và cách đo có thể làm kết quả khác nhau.</w:t>
      </w:r>
    </w:p>
    <w:p w14:paraId="3F36BAAE" w14:textId="77777777" w:rsidR="008A4A2D" w:rsidRDefault="00DD4CFA">
      <w:pPr>
        <w:spacing w:after="80" w:line="259" w:lineRule="auto"/>
      </w:pPr>
      <w:r>
        <w:t>Bài của Cattell năm 2011 hữu ích về nền tảng so sánh nhưng các tính năng và hệ thống được mô tả có thể đã thay đổi; chính bài viết cũng lưu ý cần kiểm chứng lại thông tin vì công nghệ là “mục tiêu thay đổi” [1]. Các bài tổng quan [2], [3] phụ thuộc vào phạm vi và chất lượng tài liệu được đưa vào. Trong phạm vi bài thực hành này, không tiến hành benchmark trực tiếp, nên báo cáo không đưa ra con số khẳng định hệ nào nhanh hơn.</w:t>
      </w:r>
    </w:p>
    <w:p w14:paraId="31A4778F" w14:textId="77777777" w:rsidR="008A4A2D" w:rsidRDefault="00DD4CFA">
      <w:pPr>
        <w:spacing w:after="80" w:line="259" w:lineRule="auto"/>
      </w:pPr>
      <w:r>
        <w:t>Một nguồn nên được loại khỏi phần kết luận chính nếu thiếu tác giả/ngày xuất bản, không dẫn chứng, dùng ngôn từ quảng cáo tuyệt đối, hoặc chỉ đưa benchmark mà không công bố cấu hình, dữ liệu và cách đo. Đây là tiêu chí sàng lọc theo CRAAP, không phải khẳng định rằng một trang cụ thể đã bị loại nếu chưa thẩm định toàn văn.</w:t>
      </w:r>
    </w:p>
    <w:p w14:paraId="0D8B7455" w14:textId="77777777" w:rsidR="008A4A2D" w:rsidRDefault="00DD4CFA">
      <w:pPr>
        <w:pStyle w:val="Heading1"/>
      </w:pPr>
      <w:r>
        <w:t>7. K</w:t>
      </w:r>
      <w:r>
        <w:t>ế</w:t>
      </w:r>
      <w:r>
        <w:t>t lu</w:t>
      </w:r>
      <w:r>
        <w:t>ậ</w:t>
      </w:r>
      <w:r>
        <w:t>n</w:t>
      </w:r>
    </w:p>
    <w:p w14:paraId="39FA8A04" w14:textId="77777777" w:rsidR="008A4A2D" w:rsidRDefault="00DD4CFA">
      <w:pPr>
        <w:spacing w:after="80" w:line="259" w:lineRule="auto"/>
      </w:pPr>
      <w:r>
        <w:t xml:space="preserve">Qua đối chiếu các nguồn, SQL/RDBMS thường thích hợp với dữ liệu quan hệ, truy vấn kết hợp và nghiệp vụ cần kiểm soát giao dịch, tính toàn vẹn. NoSQL cung cấp nhiều mô hình dữ liệu linh hoạt và có thể hỗ trợ mở rộng ngang cho một số dạng tải phân tán; đổi lại, thiết kế phân mảnh, nhất quán và vận hành đòi hỏi cân nhắc riêng. Cả hai nhóm đều có nhiều biến thể, nên quyết định kỹ thuật cần dựa vào cấu trúc dữ liệu, kiểu truy vấn, yêu cầu nhất quán, lưu lượng, chi phí và năng lực vận hành. Kết quả chính của bài </w:t>
      </w:r>
      <w:r>
        <w:t>là không có lựa chọn tối ưu cho mọi ứng dụng; cần đánh giá theo bối cảnh và kiểm chứng bằng thử nghiệm phù hợp.</w:t>
      </w:r>
    </w:p>
    <w:p w14:paraId="5B8D8A93" w14:textId="77777777" w:rsidR="008A4A2D" w:rsidRDefault="00DD4CFA">
      <w:pPr>
        <w:pStyle w:val="Heading1"/>
      </w:pPr>
      <w:r>
        <w:t>Tài li</w:t>
      </w:r>
      <w:r>
        <w:t>ệ</w:t>
      </w:r>
      <w:r>
        <w:t>u tham kh</w:t>
      </w:r>
      <w:r>
        <w:t>ả</w:t>
      </w:r>
      <w:r>
        <w:t>o (IEEE)</w:t>
      </w:r>
    </w:p>
    <w:p w14:paraId="600A2269" w14:textId="77777777" w:rsidR="008A4A2D" w:rsidRDefault="00DD4CFA">
      <w:pPr>
        <w:spacing w:after="80" w:line="240" w:lineRule="auto"/>
        <w:ind w:left="360" w:hanging="360"/>
      </w:pPr>
      <w:r>
        <w:t>[1] R. Cattell, “Scalable SQL and NoSQL Data Stores,” ACM SIGMOD Record, vol. 39, no. 4, pp. 12–27, 2011, doi: 10.1145/1978915.1978919. [Trực tuyến]. Available: https://doi.org/10.1145/1978915.1978919</w:t>
      </w:r>
    </w:p>
    <w:p w14:paraId="7FD6FD64" w14:textId="77777777" w:rsidR="008A4A2D" w:rsidRDefault="00DD4CFA">
      <w:pPr>
        <w:spacing w:after="80" w:line="240" w:lineRule="auto"/>
        <w:ind w:left="360" w:hanging="360"/>
      </w:pPr>
      <w:r>
        <w:t>[2] A. A. Muhamad, D. A. Kusuma, I. Renaldi, and A. Wibowo, “Studi Literatur Komparasi SQL dan NoSQL dalam Pemilihan Basis Data Ideal untuk Skalabilitas Tinggi,” Jurnal Informatika dan Kesehatan, vol. 2, no. 1, pp. 37–48, 2025, doi: 10.35473/ikn.v2i1.3693. [Trực tuyến]. Available: https://doi.org/10.35473/ikn.v2i1.3693</w:t>
      </w:r>
    </w:p>
    <w:p w14:paraId="75C3F111" w14:textId="77777777" w:rsidR="008A4A2D" w:rsidRDefault="00DD4CFA">
      <w:pPr>
        <w:spacing w:after="80" w:line="240" w:lineRule="auto"/>
        <w:ind w:left="360" w:hanging="360"/>
      </w:pPr>
      <w:r>
        <w:t>[3] “SQL and NoSQL Database Software Architecture Performance Analysis and Assessments—A Systematic Literature Review,” Data, vol. 7, no. 2, art. 97, 2023. [Trực tuyến]. Available: https://www.mdpi.com/2504-2289/7/2/97</w:t>
      </w:r>
    </w:p>
    <w:p w14:paraId="7904103C" w14:textId="77777777" w:rsidR="008A4A2D" w:rsidRDefault="00DD4CFA">
      <w:pPr>
        <w:spacing w:after="80" w:line="240" w:lineRule="auto"/>
        <w:ind w:left="360" w:hanging="360"/>
      </w:pPr>
      <w:r>
        <w:t>[4] MongoDB, “Sharding—Database Manual.” [Trực tuyến]. Available: https://www.mongodb.com/docs/manual/sharding/. [Truy cập: 03-Oct-2026].</w:t>
      </w:r>
    </w:p>
    <w:p w14:paraId="2BEFBFC4" w14:textId="77777777" w:rsidR="008A4A2D" w:rsidRDefault="00DD4CFA">
      <w:pPr>
        <w:spacing w:after="80" w:line="240" w:lineRule="auto"/>
        <w:ind w:left="360" w:hanging="360"/>
      </w:pPr>
      <w:r>
        <w:t>[5] MongoDB, “Data Consistency—Database Manual.” [Trực tuyến]. Available: https://www.mongodb.com/docs/manual/data-modeling/data-consistency/. [Truy cập: 03-Oct-2026].</w:t>
      </w:r>
    </w:p>
    <w:p w14:paraId="279C8052" w14:textId="77777777" w:rsidR="008A4A2D" w:rsidRDefault="00DD4CFA">
      <w:r>
        <w:t>Ghi chú: Báo cáo được xây dựng theo các bước và tiêu chí CRAAP nêu trong đề Bài 4 của tài liệu thực hành Buổi 6. Điểm CRAAP là nhận định học tập dựa trên thông tin thư mục và nội dung được truy cập; sinh viên nên rà soát lại trang nguồn và bổ sung thông tin cá nhân trước khi nộp.</w:t>
      </w:r>
    </w:p>
    <w:sectPr w:rsidR="008A4A2D"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8453915">
    <w:abstractNumId w:val="8"/>
  </w:num>
  <w:num w:numId="2" w16cid:durableId="1478065588">
    <w:abstractNumId w:val="6"/>
  </w:num>
  <w:num w:numId="3" w16cid:durableId="1843081507">
    <w:abstractNumId w:val="5"/>
  </w:num>
  <w:num w:numId="4" w16cid:durableId="428501113">
    <w:abstractNumId w:val="4"/>
  </w:num>
  <w:num w:numId="5" w16cid:durableId="653798000">
    <w:abstractNumId w:val="7"/>
  </w:num>
  <w:num w:numId="6" w16cid:durableId="1210803185">
    <w:abstractNumId w:val="3"/>
  </w:num>
  <w:num w:numId="7" w16cid:durableId="1017539614">
    <w:abstractNumId w:val="2"/>
  </w:num>
  <w:num w:numId="8" w16cid:durableId="765469098">
    <w:abstractNumId w:val="1"/>
  </w:num>
  <w:num w:numId="9" w16cid:durableId="626741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A4A2D"/>
    <w:rsid w:val="00927A36"/>
    <w:rsid w:val="00AA1D8D"/>
    <w:rsid w:val="00B47730"/>
    <w:rsid w:val="00C602F4"/>
    <w:rsid w:val="00CB0664"/>
    <w:rsid w:val="00D5688D"/>
    <w:rsid w:val="00DD4C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795169"/>
  <w14:defaultImageDpi w14:val="300"/>
  <w15:docId w15:val="{9B2335D6-9471-4FB8-8C85-0CFCBDB8D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1488</Words>
  <Characters>8485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Tuấn Khoa</cp:lastModifiedBy>
  <cp:revision>2</cp:revision>
  <dcterms:created xsi:type="dcterms:W3CDTF">2026-10-03T00:11:00Z</dcterms:created>
  <dcterms:modified xsi:type="dcterms:W3CDTF">2026-10-03T00:11:00Z</dcterms:modified>
  <cp:category/>
</cp:coreProperties>
</file>