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60" w:lineRule="auto"/>
        <w:rPr>
          <w:rFonts w:ascii="Times New Roman" w:cs="Times New Roman" w:eastAsia="Times New Roman" w:hAnsi="Times New Roman"/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30"/>
          <w:szCs w:val="30"/>
          <w:rtl w:val="0"/>
        </w:rPr>
        <w:t xml:space="preserve">PROJECTS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rPr>
          <w:rFonts w:ascii="Times New Roman" w:cs="Times New Roman" w:eastAsia="Times New Roman" w:hAnsi="Times New Roman"/>
          <w:i w:val="1"/>
          <w:iCs w:val="1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rtl w:val="0"/>
        </w:rPr>
        <w:t xml:space="preserve">Data anonymized and formulas removed to protect company confidentiality</w:t>
      </w:r>
    </w:p>
    <w:p w:rsidR="00000000" w:rsidDel="00000000" w:rsidP="00000000" w:rsidRDefault="00000000" w:rsidRPr="00000000" w14:paraId="00000003">
      <w:pPr>
        <w:spacing w:after="60" w:before="1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Pharmacy &amp; Pharmacist KPI Tracker — May 2026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u w:val="single"/>
            <w:rtl w:val="0"/>
          </w:rPr>
          <w:t xml:space="preserve">Nhà thuốc tháng 5 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a scorecard giving management real-time visibility into each pharmacy's and pharmacist's sales performance, enabling early action on underperformance and letting stores track progress against monthly targets.</w:t>
      </w:r>
    </w:p>
    <w:p w:rsidR="00000000" w:rsidDel="00000000" w:rsidP="00000000" w:rsidRDefault="00000000" w:rsidRPr="00000000" w14:paraId="00000005">
      <w:pPr>
        <w:spacing w:after="60" w:before="1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Standardized Retail Price List — 10,000+ SKUs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u w:val="single"/>
            <w:rtl w:val="0"/>
          </w:rPr>
          <w:t xml:space="preserve">Bảng giá Nhà thuốc 24H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the chain's first standardized listed-price framework, replacing an ad hoc pricing approach that lacked visibility into market pricing and category-level margins; prices were benchmarked against competitor pricing and input cost across both active and prospective product lines.</w:t>
      </w:r>
    </w:p>
    <w:p w:rsidR="00000000" w:rsidDel="00000000" w:rsidP="00000000" w:rsidRDefault="00000000" w:rsidRPr="00000000" w14:paraId="00000007">
      <w:pPr>
        <w:spacing w:after="60" w:before="1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Business Performance Report — 2026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u w:val="single"/>
            <w:rtl w:val="0"/>
          </w:rPr>
          <w:t xml:space="preserve">report dashboard 2024/2026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a daily/monthly tracking report covering revenue, transaction volume, average bill value, and growth trend by store, enabling early detection of performance issues and informing optimization recommendations.</w:t>
      </w:r>
    </w:p>
    <w:p w:rsidR="00000000" w:rsidDel="00000000" w:rsidP="00000000" w:rsidRDefault="00000000" w:rsidRPr="00000000" w14:paraId="00000009">
      <w:pPr>
        <w:spacing w:after="60" w:before="1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B2B Opex-per-Order Model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u w:val="single"/>
            <w:rtl w:val="0"/>
          </w:rPr>
          <w:t xml:space="preserve">opex per order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Modeled total operating cost per order for a new B2B business line to finalize target margins ahead of launch.</w:t>
      </w:r>
    </w:p>
    <w:p w:rsidR="00000000" w:rsidDel="00000000" w:rsidP="00000000" w:rsidRDefault="00000000" w:rsidRPr="00000000" w14:paraId="0000000B">
      <w:pPr>
        <w:spacing w:after="60" w:before="1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Monthly Promotion Campaign — January 2026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u w:val="single"/>
            <w:rtl w:val="0"/>
          </w:rPr>
          <w:t xml:space="preserve">January 2026 promotion campaign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Supported the Marketing team by selecting the core product list for ads and landing-page design, and proposed post-promotion pricing that protected margin while staying competitive enough to drive customer demand.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spreadsheets/d/13F17npejLCIzOlbW_IpYG4Y14E_UvltW1LsaTV8bK7Y/edit?gid=1324162305#gid=1324162305" TargetMode="External"/><Relationship Id="rId9" Type="http://schemas.openxmlformats.org/officeDocument/2006/relationships/hyperlink" Target="https://docs.google.com/spreadsheets/d/12bglY677JkmUyOJs2t2yyjQzDFnNZTRC_66gRwzkORc/edit?gid=0#gid=0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uR2ps8j73zp-SovCmH8DqpsDXM4PPpTq-B0J3hNQgVM/edit?gid=2035515303#gid=2035515303" TargetMode="External"/><Relationship Id="rId7" Type="http://schemas.openxmlformats.org/officeDocument/2006/relationships/hyperlink" Target="https://docs.google.com/spreadsheets/d/1D9Yo07gLmBpvygugMU8-DdfnjxTz1BsSqWZV9udWPVY/edit?gid=0#gid=0" TargetMode="External"/><Relationship Id="rId8" Type="http://schemas.openxmlformats.org/officeDocument/2006/relationships/hyperlink" Target="https://docs.google.com/spreadsheets/d/1CX2y43FyukCZIafFSOdU-1AynP8ZiQoM58Dvwiv6W0s/edit?gid=1931703047#gid=19317030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