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OCR Vietnamese-Handwriting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 sánh VietOCR và Qwen2-VL-2B-Instruct-bnb-4bit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Kết quả chạy trên mock_data - đã cắt các vùng chữ viết tay ra để test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Result được lưu đầy đủ trong folder ocr_result</w:t>
        <w:br w:type="textWrapping"/>
        <w:t xml:space="preserve"> CER (Character Error Rate): 62.02%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WER (Word Error Rate):  95.21%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Exact Match: 13.21%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Fine-tune Qwen2-VL-2B-Instruct-bnb-4bit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CER: 20.40%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WER: 46.11%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Exact Match: 43.40%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 sánh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Qwen2-VL sau fine-tuning giảm lỗi ký tự ~3 lần và tăng tỷ lệ nhận đúng hoàn toàn hơn 3 lần so với VietOCR.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VietOCR gặp khó khăn với nét viết tay, ký tự dính liền hoặc font không đều do giới hạn kiến trúc CNN + vgg_transformers.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Tốc độ inference của model Qwen2 fine-tuned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Trung bình mỗi ảnh: 615.33 ms (1.63 ảnh/giây)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Tổng thời gian cho 53 ảnh: 32.61 s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