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40EE" w14:textId="49740B8E"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Pr>
          <w:rFonts w:ascii="Segoe UI" w:eastAsia="Times New Roman" w:hAnsi="Segoe UI" w:cs="Segoe UI"/>
          <w:b/>
          <w:bCs/>
          <w:color w:val="444444"/>
          <w:sz w:val="26"/>
          <w:szCs w:val="26"/>
          <w:lang w:val="en-US"/>
        </w:rPr>
        <w:t>T</w:t>
      </w:r>
      <w:r w:rsidRPr="00457E28">
        <w:rPr>
          <w:rFonts w:ascii="Segoe UI" w:eastAsia="Times New Roman" w:hAnsi="Segoe UI" w:cs="Segoe UI"/>
          <w:b/>
          <w:bCs/>
          <w:color w:val="444444"/>
          <w:sz w:val="26"/>
          <w:szCs w:val="26"/>
        </w:rPr>
        <w:t>ên công ty – Mã số thuế:</w:t>
      </w:r>
    </w:p>
    <w:p w14:paraId="54FDCE1D"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CÔNG TY TNHH UNIQLO VIỆT NAM – 0315304731</w:t>
      </w:r>
    </w:p>
    <w:p w14:paraId="27D91EB4"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Tên giao dịch (tiếng Anh):</w:t>
      </w:r>
    </w:p>
    <w:p w14:paraId="4F7BB602"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UNIQLO VIETNAM CO., LTD.</w:t>
      </w:r>
    </w:p>
    <w:p w14:paraId="580243AA"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Tên viết tắt:</w:t>
      </w:r>
    </w:p>
    <w:p w14:paraId="69EAC1E6"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UQVN</w:t>
      </w:r>
    </w:p>
    <w:p w14:paraId="6E1D7908"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Địa chỉ:</w:t>
      </w:r>
    </w:p>
    <w:p w14:paraId="7BB917FF"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Tầng 26, Tòa nhà Trụ Sở Điều Hành Và Trung Tâm Thương Mại Viettel, 285 Cách Mạng Tháng Tám, Phường 12, Quận 10, Thành phố Hồ Chí Minh, Việt Nam</w:t>
      </w:r>
    </w:p>
    <w:p w14:paraId="06DA87A7"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Địa chỉ tiếng Anh:</w:t>
      </w:r>
    </w:p>
    <w:p w14:paraId="0892C872"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26th floor, Viettel Tower, 285 Cach Mang Thang 8, 12 ward, District 10, Ho Chi Minh City, Vietnam.</w:t>
      </w:r>
    </w:p>
    <w:p w14:paraId="0220686D"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Đại diện pháp luật:</w:t>
      </w:r>
    </w:p>
    <w:p w14:paraId="3052DB1D"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OSAMU IKEZOE / MAKOTO YASUDA / SHUICHI NAKAJIMA</w:t>
      </w:r>
    </w:p>
    <w:p w14:paraId="75ACC63E"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Mã số thuế:</w:t>
      </w:r>
    </w:p>
    <w:p w14:paraId="003E4026"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0315304731 – 02/10/2018</w:t>
      </w:r>
    </w:p>
    <w:p w14:paraId="6F2F9C96"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Ngành nghề chính:</w:t>
      </w:r>
    </w:p>
    <w:p w14:paraId="10971BD6"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 Doanh nghiệp có vốn đầu tư nước ngoài có trách nhiệm thực hiện thủ tục đầu tư theo quy định của Luật Đầu tư và Pháp luật có liên quan. Doanh nghiệp phải thực hiện đúng các quy định của pháp luật về đất đai, xây dựng, phòng cháy chữa cháy, bảo vệ môi trường, các quy định khác của pháp luật hiện hành và các điều kiện kinh doanh đối với ngành nghề kinh doanh có điều kiện. Đối với các trường hợp phải cấp Giấy phép kinh doanh để thực hiện hoạt động mua bán hàng hóa và các hoạt động liên quan trực tiếp đến mua bán hàng hóa theo quy định tại Nghị định số 09/2018/NĐ-CP ngày 15 tháng 01 năm 2018 của Chính phủ về việc quy định chi tiết Luật Thương mại và Luật Quản lý ngoại thương về hoạt động mua bán hàng hóa và các hoạt động liên quan trực tiếp đến mua bán hàng hóa của nhà đầu tư nước ngoài, tổ chức kinh tế có vốn đầu tư nước ngoài tại Việt Nam, Tổ chức kinh tế thực hiện dự án đầu tư có trách nhiệm liên hệ Sở Công Thương để thực hiện thủ tục cấp Giấy phép kinh doanh, Giấy phép lập cơ sở bán lẻ (nếu có) theo đúng quy định trước khi hoạt động kinh doanh (trừ các trường hợp không phải cấp Giấy phép kinh doanh quy định tại Điều 6, Điều 50 Nghị định số 09/2018/NĐ-CP)</w:t>
      </w:r>
      <w:r w:rsidRPr="00457E28">
        <w:rPr>
          <w:rFonts w:ascii="Segoe UI" w:eastAsia="Times New Roman" w:hAnsi="Segoe UI" w:cs="Segoe UI"/>
          <w:color w:val="3A3A3A"/>
          <w:sz w:val="26"/>
          <w:szCs w:val="26"/>
        </w:rPr>
        <w:br/>
        <w:t>4690</w:t>
      </w:r>
      <w:r w:rsidRPr="00457E28">
        <w:rPr>
          <w:rFonts w:ascii="Segoe UI" w:eastAsia="Times New Roman" w:hAnsi="Segoe UI" w:cs="Segoe UI"/>
          <w:color w:val="3A3A3A"/>
          <w:sz w:val="26"/>
          <w:szCs w:val="26"/>
        </w:rPr>
        <w:br/>
        <w:t>Bán buôn tổng hợp</w:t>
      </w:r>
      <w:r w:rsidRPr="00457E28">
        <w:rPr>
          <w:rFonts w:ascii="Segoe UI" w:eastAsia="Times New Roman" w:hAnsi="Segoe UI" w:cs="Segoe UI"/>
          <w:color w:val="3A3A3A"/>
          <w:sz w:val="26"/>
          <w:szCs w:val="26"/>
        </w:rPr>
        <w:br/>
        <w:t xml:space="preserve">Chi tiết: Thực hiện quyền xuất khẩu, quyền nhập khẩu, quyền phân phối bán </w:t>
      </w:r>
      <w:r w:rsidRPr="00457E28">
        <w:rPr>
          <w:rFonts w:ascii="Segoe UI" w:eastAsia="Times New Roman" w:hAnsi="Segoe UI" w:cs="Segoe UI"/>
          <w:color w:val="3A3A3A"/>
          <w:sz w:val="26"/>
          <w:szCs w:val="26"/>
        </w:rPr>
        <w:lastRenderedPageBreak/>
        <w:t>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r w:rsidRPr="00457E28">
        <w:rPr>
          <w:rFonts w:ascii="Segoe UI" w:eastAsia="Times New Roman" w:hAnsi="Segoe UI" w:cs="Segoe UI"/>
          <w:color w:val="3A3A3A"/>
          <w:sz w:val="26"/>
          <w:szCs w:val="26"/>
        </w:rPr>
        <w:br/>
        <w:t>4799</w:t>
      </w:r>
      <w:r w:rsidRPr="00457E28">
        <w:rPr>
          <w:rFonts w:ascii="Segoe UI" w:eastAsia="Times New Roman" w:hAnsi="Segoe UI" w:cs="Segoe UI"/>
          <w:color w:val="3A3A3A"/>
          <w:sz w:val="26"/>
          <w:szCs w:val="26"/>
        </w:rPr>
        <w:br/>
        <w:t>Bán lẻ hình thức khác chưa được phân vào đâu</w:t>
      </w:r>
      <w:r w:rsidRPr="00457E28">
        <w:rPr>
          <w:rFonts w:ascii="Segoe UI" w:eastAsia="Times New Roman" w:hAnsi="Segoe UI" w:cs="Segoe UI"/>
          <w:color w:val="3A3A3A"/>
          <w:sz w:val="26"/>
          <w:szCs w:val="26"/>
        </w:rPr>
        <w:br/>
        <w:t>Chi tiết: Thực hiện quyền phân phối bán lẻ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632)</w:t>
      </w:r>
      <w:r w:rsidRPr="00457E28">
        <w:rPr>
          <w:rFonts w:ascii="Segoe UI" w:eastAsia="Times New Roman" w:hAnsi="Segoe UI" w:cs="Segoe UI"/>
          <w:color w:val="3A3A3A"/>
          <w:sz w:val="26"/>
          <w:szCs w:val="26"/>
        </w:rPr>
        <w:br/>
        <w:t>4771 (Chính)</w:t>
      </w:r>
      <w:r w:rsidRPr="00457E28">
        <w:rPr>
          <w:rFonts w:ascii="Segoe UI" w:eastAsia="Times New Roman" w:hAnsi="Segoe UI" w:cs="Segoe UI"/>
          <w:color w:val="3A3A3A"/>
          <w:sz w:val="26"/>
          <w:szCs w:val="26"/>
        </w:rPr>
        <w:br/>
        <w:t>Bán lẻ hàng may mặc, giày dép, hàng da và giả da trong các cửa hàng chuyên doanh</w:t>
      </w:r>
      <w:r w:rsidRPr="00457E28">
        <w:rPr>
          <w:rFonts w:ascii="Segoe UI" w:eastAsia="Times New Roman" w:hAnsi="Segoe UI" w:cs="Segoe UI"/>
          <w:color w:val="3A3A3A"/>
          <w:sz w:val="26"/>
          <w:szCs w:val="26"/>
        </w:rPr>
        <w:br/>
        <w:t>Chi tiết: Thực hiện quyền phân phối bán lẻ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632)</w:t>
      </w:r>
    </w:p>
    <w:p w14:paraId="10138D7A"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Giấy phép kinh doanh:</w:t>
      </w:r>
    </w:p>
    <w:p w14:paraId="592745A7"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r w:rsidRPr="00457E28">
        <w:rPr>
          <w:rFonts w:ascii="Segoe UI" w:eastAsia="Times New Roman" w:hAnsi="Segoe UI" w:cs="Segoe UI"/>
          <w:color w:val="3A3A3A"/>
          <w:sz w:val="26"/>
          <w:szCs w:val="26"/>
        </w:rPr>
        <w:t>0315304731 – 02/10/2018</w:t>
      </w:r>
    </w:p>
    <w:p w14:paraId="52A80AAF" w14:textId="77777777" w:rsidR="00457E28" w:rsidRPr="00457E28" w:rsidRDefault="00457E28" w:rsidP="00457E28">
      <w:pPr>
        <w:shd w:val="clear" w:color="auto" w:fill="FFFFFF"/>
        <w:spacing w:after="0" w:line="240" w:lineRule="auto"/>
        <w:rPr>
          <w:rFonts w:ascii="Segoe UI" w:eastAsia="Times New Roman" w:hAnsi="Segoe UI" w:cs="Segoe UI"/>
          <w:color w:val="3A3A3A"/>
          <w:sz w:val="26"/>
          <w:szCs w:val="26"/>
        </w:rPr>
      </w:pPr>
      <w:r w:rsidRPr="00457E28">
        <w:rPr>
          <w:rFonts w:ascii="Segoe UI" w:eastAsia="Times New Roman" w:hAnsi="Segoe UI" w:cs="Segoe UI"/>
          <w:b/>
          <w:bCs/>
          <w:color w:val="444444"/>
          <w:sz w:val="26"/>
          <w:szCs w:val="26"/>
        </w:rPr>
        <w:t>Quốc gia- tỉnh :</w:t>
      </w:r>
    </w:p>
    <w:p w14:paraId="13AEAE73" w14:textId="77777777" w:rsidR="00457E28" w:rsidRPr="00457E28" w:rsidRDefault="00457E28" w:rsidP="00457E28">
      <w:pPr>
        <w:shd w:val="clear" w:color="auto" w:fill="FFFFFF"/>
        <w:spacing w:after="150" w:line="240" w:lineRule="auto"/>
        <w:rPr>
          <w:rFonts w:ascii="Segoe UI" w:eastAsia="Times New Roman" w:hAnsi="Segoe UI" w:cs="Segoe UI"/>
          <w:color w:val="3A3A3A"/>
          <w:sz w:val="26"/>
          <w:szCs w:val="26"/>
        </w:rPr>
      </w:pPr>
      <w:hyperlink r:id="rId5" w:history="1">
        <w:r w:rsidRPr="00457E28">
          <w:rPr>
            <w:rFonts w:ascii="Segoe UI" w:eastAsia="Times New Roman" w:hAnsi="Segoe UI" w:cs="Segoe UI"/>
            <w:color w:val="3A3A3A"/>
            <w:sz w:val="26"/>
            <w:szCs w:val="26"/>
            <w:u w:val="single"/>
          </w:rPr>
          <w:t>Hồ Chí Minh</w:t>
        </w:r>
      </w:hyperlink>
    </w:p>
    <w:p w14:paraId="52C205B3" w14:textId="77777777" w:rsidR="00C22BDB" w:rsidRDefault="00C22BDB"/>
    <w:sectPr w:rsidR="00C22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55BF7"/>
    <w:multiLevelType w:val="multilevel"/>
    <w:tmpl w:val="A00E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76"/>
    <w:rsid w:val="00327176"/>
    <w:rsid w:val="00457E28"/>
    <w:rsid w:val="00854E56"/>
    <w:rsid w:val="00A07E0C"/>
    <w:rsid w:val="00A1172C"/>
    <w:rsid w:val="00C22BD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2312"/>
  <w15:chartTrackingRefBased/>
  <w15:docId w15:val="{17AD0237-4A75-4DAE-B124-B900E88F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label">
    <w:name w:val="field-label"/>
    <w:basedOn w:val="DefaultParagraphFont"/>
    <w:rsid w:val="00457E28"/>
  </w:style>
  <w:style w:type="character" w:styleId="Hyperlink">
    <w:name w:val="Hyperlink"/>
    <w:basedOn w:val="DefaultParagraphFont"/>
    <w:uiPriority w:val="99"/>
    <w:semiHidden/>
    <w:unhideWhenUsed/>
    <w:rsid w:val="00457E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98336">
      <w:bodyDiv w:val="1"/>
      <w:marLeft w:val="0"/>
      <w:marRight w:val="0"/>
      <w:marTop w:val="0"/>
      <w:marBottom w:val="0"/>
      <w:divBdr>
        <w:top w:val="none" w:sz="0" w:space="0" w:color="auto"/>
        <w:left w:val="none" w:sz="0" w:space="0" w:color="auto"/>
        <w:bottom w:val="none" w:sz="0" w:space="0" w:color="auto"/>
        <w:right w:val="none" w:sz="0" w:space="0" w:color="auto"/>
      </w:divBdr>
    </w:div>
    <w:div w:id="1999113675">
      <w:bodyDiv w:val="1"/>
      <w:marLeft w:val="0"/>
      <w:marRight w:val="0"/>
      <w:marTop w:val="0"/>
      <w:marBottom w:val="0"/>
      <w:divBdr>
        <w:top w:val="none" w:sz="0" w:space="0" w:color="auto"/>
        <w:left w:val="none" w:sz="0" w:space="0" w:color="auto"/>
        <w:bottom w:val="none" w:sz="0" w:space="0" w:color="auto"/>
        <w:right w:val="none" w:sz="0" w:space="0" w:color="auto"/>
      </w:divBdr>
      <w:divsChild>
        <w:div w:id="1647586996">
          <w:marLeft w:val="0"/>
          <w:marRight w:val="0"/>
          <w:marTop w:val="0"/>
          <w:marBottom w:val="150"/>
          <w:divBdr>
            <w:top w:val="none" w:sz="0" w:space="0" w:color="auto"/>
            <w:left w:val="none" w:sz="0" w:space="0" w:color="auto"/>
            <w:bottom w:val="none" w:sz="0" w:space="0" w:color="auto"/>
            <w:right w:val="none" w:sz="0" w:space="0" w:color="auto"/>
          </w:divBdr>
          <w:divsChild>
            <w:div w:id="1274166389">
              <w:marLeft w:val="0"/>
              <w:marRight w:val="0"/>
              <w:marTop w:val="0"/>
              <w:marBottom w:val="0"/>
              <w:divBdr>
                <w:top w:val="none" w:sz="0" w:space="0" w:color="auto"/>
                <w:left w:val="none" w:sz="0" w:space="0" w:color="auto"/>
                <w:bottom w:val="none" w:sz="0" w:space="0" w:color="auto"/>
                <w:right w:val="none" w:sz="0" w:space="0" w:color="auto"/>
              </w:divBdr>
            </w:div>
          </w:divsChild>
        </w:div>
        <w:div w:id="1600528000">
          <w:marLeft w:val="0"/>
          <w:marRight w:val="0"/>
          <w:marTop w:val="0"/>
          <w:marBottom w:val="150"/>
          <w:divBdr>
            <w:top w:val="none" w:sz="0" w:space="0" w:color="auto"/>
            <w:left w:val="none" w:sz="0" w:space="0" w:color="auto"/>
            <w:bottom w:val="none" w:sz="0" w:space="0" w:color="auto"/>
            <w:right w:val="none" w:sz="0" w:space="0" w:color="auto"/>
          </w:divBdr>
          <w:divsChild>
            <w:div w:id="1384674762">
              <w:marLeft w:val="0"/>
              <w:marRight w:val="0"/>
              <w:marTop w:val="0"/>
              <w:marBottom w:val="0"/>
              <w:divBdr>
                <w:top w:val="none" w:sz="0" w:space="0" w:color="auto"/>
                <w:left w:val="none" w:sz="0" w:space="0" w:color="auto"/>
                <w:bottom w:val="none" w:sz="0" w:space="0" w:color="auto"/>
                <w:right w:val="none" w:sz="0" w:space="0" w:color="auto"/>
              </w:divBdr>
            </w:div>
          </w:divsChild>
        </w:div>
        <w:div w:id="1921983853">
          <w:marLeft w:val="0"/>
          <w:marRight w:val="0"/>
          <w:marTop w:val="0"/>
          <w:marBottom w:val="150"/>
          <w:divBdr>
            <w:top w:val="none" w:sz="0" w:space="0" w:color="auto"/>
            <w:left w:val="none" w:sz="0" w:space="0" w:color="auto"/>
            <w:bottom w:val="none" w:sz="0" w:space="0" w:color="auto"/>
            <w:right w:val="none" w:sz="0" w:space="0" w:color="auto"/>
          </w:divBdr>
          <w:divsChild>
            <w:div w:id="871386137">
              <w:marLeft w:val="0"/>
              <w:marRight w:val="0"/>
              <w:marTop w:val="0"/>
              <w:marBottom w:val="0"/>
              <w:divBdr>
                <w:top w:val="none" w:sz="0" w:space="0" w:color="auto"/>
                <w:left w:val="none" w:sz="0" w:space="0" w:color="auto"/>
                <w:bottom w:val="none" w:sz="0" w:space="0" w:color="auto"/>
                <w:right w:val="none" w:sz="0" w:space="0" w:color="auto"/>
              </w:divBdr>
            </w:div>
          </w:divsChild>
        </w:div>
        <w:div w:id="1729107944">
          <w:marLeft w:val="0"/>
          <w:marRight w:val="0"/>
          <w:marTop w:val="0"/>
          <w:marBottom w:val="150"/>
          <w:divBdr>
            <w:top w:val="none" w:sz="0" w:space="0" w:color="auto"/>
            <w:left w:val="none" w:sz="0" w:space="0" w:color="auto"/>
            <w:bottom w:val="none" w:sz="0" w:space="0" w:color="auto"/>
            <w:right w:val="none" w:sz="0" w:space="0" w:color="auto"/>
          </w:divBdr>
          <w:divsChild>
            <w:div w:id="1802260878">
              <w:marLeft w:val="0"/>
              <w:marRight w:val="0"/>
              <w:marTop w:val="0"/>
              <w:marBottom w:val="0"/>
              <w:divBdr>
                <w:top w:val="none" w:sz="0" w:space="0" w:color="auto"/>
                <w:left w:val="none" w:sz="0" w:space="0" w:color="auto"/>
                <w:bottom w:val="none" w:sz="0" w:space="0" w:color="auto"/>
                <w:right w:val="none" w:sz="0" w:space="0" w:color="auto"/>
              </w:divBdr>
            </w:div>
          </w:divsChild>
        </w:div>
        <w:div w:id="1130972321">
          <w:marLeft w:val="0"/>
          <w:marRight w:val="0"/>
          <w:marTop w:val="0"/>
          <w:marBottom w:val="150"/>
          <w:divBdr>
            <w:top w:val="none" w:sz="0" w:space="0" w:color="auto"/>
            <w:left w:val="none" w:sz="0" w:space="0" w:color="auto"/>
            <w:bottom w:val="none" w:sz="0" w:space="0" w:color="auto"/>
            <w:right w:val="none" w:sz="0" w:space="0" w:color="auto"/>
          </w:divBdr>
          <w:divsChild>
            <w:div w:id="874003228">
              <w:marLeft w:val="0"/>
              <w:marRight w:val="0"/>
              <w:marTop w:val="0"/>
              <w:marBottom w:val="0"/>
              <w:divBdr>
                <w:top w:val="none" w:sz="0" w:space="0" w:color="auto"/>
                <w:left w:val="none" w:sz="0" w:space="0" w:color="auto"/>
                <w:bottom w:val="none" w:sz="0" w:space="0" w:color="auto"/>
                <w:right w:val="none" w:sz="0" w:space="0" w:color="auto"/>
              </w:divBdr>
            </w:div>
          </w:divsChild>
        </w:div>
        <w:div w:id="2110274514">
          <w:marLeft w:val="0"/>
          <w:marRight w:val="0"/>
          <w:marTop w:val="0"/>
          <w:marBottom w:val="150"/>
          <w:divBdr>
            <w:top w:val="none" w:sz="0" w:space="0" w:color="auto"/>
            <w:left w:val="none" w:sz="0" w:space="0" w:color="auto"/>
            <w:bottom w:val="none" w:sz="0" w:space="0" w:color="auto"/>
            <w:right w:val="none" w:sz="0" w:space="0" w:color="auto"/>
          </w:divBdr>
          <w:divsChild>
            <w:div w:id="2046371973">
              <w:marLeft w:val="0"/>
              <w:marRight w:val="0"/>
              <w:marTop w:val="0"/>
              <w:marBottom w:val="0"/>
              <w:divBdr>
                <w:top w:val="none" w:sz="0" w:space="0" w:color="auto"/>
                <w:left w:val="none" w:sz="0" w:space="0" w:color="auto"/>
                <w:bottom w:val="none" w:sz="0" w:space="0" w:color="auto"/>
                <w:right w:val="none" w:sz="0" w:space="0" w:color="auto"/>
              </w:divBdr>
            </w:div>
          </w:divsChild>
        </w:div>
        <w:div w:id="1260219371">
          <w:marLeft w:val="0"/>
          <w:marRight w:val="0"/>
          <w:marTop w:val="0"/>
          <w:marBottom w:val="150"/>
          <w:divBdr>
            <w:top w:val="none" w:sz="0" w:space="0" w:color="auto"/>
            <w:left w:val="none" w:sz="0" w:space="0" w:color="auto"/>
            <w:bottom w:val="none" w:sz="0" w:space="0" w:color="auto"/>
            <w:right w:val="none" w:sz="0" w:space="0" w:color="auto"/>
          </w:divBdr>
          <w:divsChild>
            <w:div w:id="2131241412">
              <w:marLeft w:val="0"/>
              <w:marRight w:val="0"/>
              <w:marTop w:val="0"/>
              <w:marBottom w:val="0"/>
              <w:divBdr>
                <w:top w:val="none" w:sz="0" w:space="0" w:color="auto"/>
                <w:left w:val="none" w:sz="0" w:space="0" w:color="auto"/>
                <w:bottom w:val="none" w:sz="0" w:space="0" w:color="auto"/>
                <w:right w:val="none" w:sz="0" w:space="0" w:color="auto"/>
              </w:divBdr>
            </w:div>
          </w:divsChild>
        </w:div>
        <w:div w:id="1960381687">
          <w:marLeft w:val="0"/>
          <w:marRight w:val="0"/>
          <w:marTop w:val="0"/>
          <w:marBottom w:val="150"/>
          <w:divBdr>
            <w:top w:val="none" w:sz="0" w:space="0" w:color="auto"/>
            <w:left w:val="none" w:sz="0" w:space="0" w:color="auto"/>
            <w:bottom w:val="none" w:sz="0" w:space="0" w:color="auto"/>
            <w:right w:val="none" w:sz="0" w:space="0" w:color="auto"/>
          </w:divBdr>
          <w:divsChild>
            <w:div w:id="999818480">
              <w:marLeft w:val="0"/>
              <w:marRight w:val="0"/>
              <w:marTop w:val="0"/>
              <w:marBottom w:val="0"/>
              <w:divBdr>
                <w:top w:val="none" w:sz="0" w:space="0" w:color="auto"/>
                <w:left w:val="none" w:sz="0" w:space="0" w:color="auto"/>
                <w:bottom w:val="none" w:sz="0" w:space="0" w:color="auto"/>
                <w:right w:val="none" w:sz="0" w:space="0" w:color="auto"/>
              </w:divBdr>
            </w:div>
          </w:divsChild>
        </w:div>
        <w:div w:id="2055302514">
          <w:marLeft w:val="0"/>
          <w:marRight w:val="0"/>
          <w:marTop w:val="0"/>
          <w:marBottom w:val="150"/>
          <w:divBdr>
            <w:top w:val="none" w:sz="0" w:space="0" w:color="auto"/>
            <w:left w:val="none" w:sz="0" w:space="0" w:color="auto"/>
            <w:bottom w:val="none" w:sz="0" w:space="0" w:color="auto"/>
            <w:right w:val="none" w:sz="0" w:space="0" w:color="auto"/>
          </w:divBdr>
          <w:divsChild>
            <w:div w:id="1629356535">
              <w:marLeft w:val="0"/>
              <w:marRight w:val="0"/>
              <w:marTop w:val="0"/>
              <w:marBottom w:val="0"/>
              <w:divBdr>
                <w:top w:val="none" w:sz="0" w:space="0" w:color="auto"/>
                <w:left w:val="none" w:sz="0" w:space="0" w:color="auto"/>
                <w:bottom w:val="none" w:sz="0" w:space="0" w:color="auto"/>
                <w:right w:val="none" w:sz="0" w:space="0" w:color="auto"/>
              </w:divBdr>
            </w:div>
          </w:divsChild>
        </w:div>
        <w:div w:id="652411003">
          <w:marLeft w:val="0"/>
          <w:marRight w:val="0"/>
          <w:marTop w:val="0"/>
          <w:marBottom w:val="150"/>
          <w:divBdr>
            <w:top w:val="none" w:sz="0" w:space="0" w:color="auto"/>
            <w:left w:val="none" w:sz="0" w:space="0" w:color="auto"/>
            <w:bottom w:val="none" w:sz="0" w:space="0" w:color="auto"/>
            <w:right w:val="none" w:sz="0" w:space="0" w:color="auto"/>
          </w:divBdr>
          <w:divsChild>
            <w:div w:id="14286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ahanvisa.net.vn/business-directory/countries-provinces/ho-chi-min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Tạ Quang</dc:creator>
  <cp:keywords/>
  <dc:description/>
  <cp:lastModifiedBy>Trung Tạ Quang</cp:lastModifiedBy>
  <cp:revision>1</cp:revision>
  <dcterms:created xsi:type="dcterms:W3CDTF">2021-08-02T13:12:00Z</dcterms:created>
  <dcterms:modified xsi:type="dcterms:W3CDTF">2021-08-02T14:26:00Z</dcterms:modified>
</cp:coreProperties>
</file>