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b/>
          <w:bCs/>
          <w:sz w:val="24"/>
          <w:szCs w:val="24"/>
        </w:rPr>
        <w:t xml:space="preserve">UNDERGRADUATE FINAL YEAR PROJECT REPORT</w:t>
      </w:r>
    </w:p>
    <w:p>
      <w:pPr>
        <w:spacing w:after="0" w:before="600"/>
        <w:jc w:val="center"/>
      </w:pPr>
      <w:r>
        <w:rPr>
          <w:b/>
          <w:bCs/>
          <w:color w:val="1F2937"/>
          <w:sz w:val="56"/>
          <w:szCs w:val="56"/>
        </w:rPr>
        <w:t xml:space="preserve">WASTEWISE</w:t>
      </w:r>
    </w:p>
    <w:p>
      <w:pPr>
        <w:spacing w:after="600" w:before="200"/>
        <w:jc w:val="center"/>
      </w:pPr>
      <w:r>
        <w:rPr>
          <w:b/>
          <w:bCs/>
          <w:color w:val="374151"/>
          <w:sz w:val="30"/>
          <w:szCs w:val="30"/>
        </w:rPr>
        <w:t xml:space="preserve">A Two-Branch Machine Learning and Deep Learning System for Waste Object Detection, Material Classification, and Bin Routing</w:t>
      </w:r>
    </w:p>
    <w:p>
      <w:pPr>
        <w:spacing w:before="800"/>
        <w:jc w:val="center"/>
      </w:pPr>
      <w:r>
        <w:rPr>
          <w:b/>
          <w:bCs/>
          <w:sz w:val="26"/>
          <w:szCs w:val="26"/>
        </w:rPr>
        <w:t xml:space="preserve">KHOA PHUNG DANH</w:t>
      </w:r>
    </w:p>
    <w:p>
      <w:pPr>
        <w:spacing w:before="100"/>
        <w:jc w:val="center"/>
      </w:pPr>
      <w:r>
        <w:rPr>
          <w:sz w:val="22"/>
          <w:szCs w:val="22"/>
        </w:rPr>
        <w:t xml:space="preserve">Bachelor of Science (Honours) in Computing</w:t>
      </w:r>
    </w:p>
    <w:p>
      <w:pPr>
        <w:spacing w:before="600"/>
        <w:jc w:val="center"/>
      </w:pPr>
      <w:r>
        <w:rPr>
          <w:sz w:val="22"/>
          <w:szCs w:val="22"/>
        </w:rPr>
        <w:t xml:space="preserve">Supervisor: [Lecturer name]</w:t>
      </w:r>
    </w:p>
    <w:p>
      <w:pPr>
        <w:spacing w:before="100"/>
        <w:jc w:val="center"/>
      </w:pPr>
      <w:r>
        <w:rPr>
          <w:sz w:val="22"/>
          <w:szCs w:val="22"/>
        </w:rPr>
        <w:t xml:space="preserve">Submission date: July 2026</w:t>
      </w:r>
    </w:p>
    <w:p>
      <w:r>
        <w:br w:type="page"/>
      </w:r>
    </w:p>
    <w:p>
      <w:pPr>
        <w:pStyle w:val="Heading1"/>
      </w:pPr>
      <w:r>
        <w:t xml:space="preserve">Abstract</w:t>
      </w:r>
    </w:p>
    <w:p>
      <w:pPr>
        <w:spacing w:after="160"/>
        <w:jc w:val="both"/>
      </w:pPr>
      <w:r>
        <w:rPr>
          <w:b w:val="false"/>
          <w:bCs w:val="false"/>
          <w:i w:val="false"/>
          <w:iCs w:val="false"/>
        </w:rPr>
        <w:t xml:space="preserve">WasteWise is a Final Year Project that automates waste object detection, material classification, and bin-routing decisions from photographs of real, unconstrained scenes such as streets, beaches, kitchens, and recycling stations. The project is deliberately organised into two complementary branches. Branch A is an explainable classical machine-learning pipeline that extracts a fixed 637-dimensional handcrafted feature vector (8 spatial, 9 frequency/FFT, 44 colour, and 576 Histogram-of-Oriented-Gradients descriptors) from object crops and benchmarks six classical classifiers together with a controlled Principal Component Analysis (PCA) dimensionality-reduction study. Branch B is a deep-learning production pipeline built as a two-stage, localisation-first architecture: a YOLO detector proposes object bounding boxes, and a ConvNeXt-based crop classifier, fused with the same 637 handcrafted features, verifies and re-classifies every crop before a decision is made. The two stages are combined through a dynamic confidence-weighted score fusion, Bayesian scene-context priors, and a conservative waste-state decision gate.</w:t>
      </w:r>
    </w:p>
    <w:p>
      <w:pPr>
        <w:spacing w:after="160"/>
        <w:jc w:val="both"/>
      </w:pPr>
      <w:r>
        <w:rPr>
          <w:b w:val="false"/>
          <w:bCs w:val="false"/>
          <w:i w:val="false"/>
          <w:iCs w:val="false"/>
        </w:rPr>
        <w:t xml:space="preserve">On the reference classical-ML benchmark, XGBoost is the strongest model at 67.42% accuracy and 0.6506 macro-F1, and a controlled PCA sweep shows the 637-D feature space can be compressed to 128 components while retaining 99.90% of the variance at a model-dependent cost of roughly 0.6-2.5 percentage points for linear models. In the deep-learning branch, the tuned ConvNeXt-Tiny multimodal classifier reaches 92.52% validation accuracy on the balanced 7-class dataset and 93.88% test accuracy after a hard-case retrain; a subsequent train/serve-skew correction raised accuracy on the detector's own crops (the distribution actually seen in production) from 76.91% to 88.88% while clean-crop accuracy improved further to 93.77%. For localisation, the deployed YOLO26n detector reaches precision 0.777, recall 0.650, and mAP50 0.721 on a leakage-audited validation split, with an honest mAP50 of 0.474 on a harder, fully unseen test split. The single most important verification result in this project is a self-run data-leakage audit: perceptual-hash deduplication across roughly 79,000 images uncovered that 43% of one classifier test split duplicated training images; every reported number in this report is measured on the corrected, quarantined splits.</w:t>
      </w:r>
    </w:p>
    <w:p>
      <w:pPr>
        <w:spacing w:after="160"/>
        <w:jc w:val="both"/>
      </w:pPr>
      <w:r>
        <w:rPr>
          <w:b w:val="false"/>
          <w:bCs w:val="false"/>
          <w:i w:val="false"/>
          <w:iCs w:val="false"/>
        </w:rPr>
        <w:t xml:space="preserve">This report documents the complete engineering journey: dataset acquisition and auditing, the classical-ML and deep-learning methodologies, end-to-end production results, and a dedicated Failures, Root Causes, and Fixes chapter that records sixteen concrete engineering failures, how each was detected, and how each was resolved. The system is deployed as a Flask web application with a Python model API, containerised for Hugging Face Spaces.</w:t>
      </w:r>
    </w:p>
    <w:p>
      <w:pPr>
        <w:pStyle w:val="Heading2"/>
      </w:pPr>
      <w:r>
        <w:t xml:space="preserve">Keywords</w:t>
      </w:r>
    </w:p>
    <w:p>
      <w:pPr>
        <w:spacing w:after="160"/>
        <w:jc w:val="both"/>
      </w:pPr>
      <w:r>
        <w:rPr>
          <w:b w:val="false"/>
          <w:bCs w:val="false"/>
          <w:i w:val="false"/>
          <w:iCs w:val="false"/>
        </w:rPr>
        <w:t xml:space="preserve">Waste detection, object localisation, image classification, handcrafted features, YOLO, ConvNeXt, multimodal fusion, dataset leakage auditing, explainable machine learning.</w:t>
      </w:r>
    </w:p>
    <w:p>
      <w:r>
        <w:br w:type="page"/>
      </w:r>
    </w:p>
    <w:p>
      <w:pPr>
        <w:pStyle w:val="Heading1"/>
      </w:pPr>
      <w:r>
        <w:t xml:space="preserve">Acknowledgement</w:t>
      </w:r>
    </w:p>
    <w:p>
      <w:pPr>
        <w:spacing w:after="160"/>
        <w:jc w:val="both"/>
      </w:pPr>
      <w:r>
        <w:rPr>
          <w:b w:val="false"/>
          <w:bCs w:val="false"/>
          <w:i w:val="false"/>
          <w:iCs w:val="false"/>
        </w:rPr>
        <w:t xml:space="preserve">I would like to thank my supervisor for the guidance, patience, and rigorous questioning that shaped this project at every stage, and in particular for insisting that every number in this report be traceable to a script and a run folder rather than to a single, comfortable screenshot. That insistence is the reason this project has an audit trail and a Failures chapter instead of only a results chapter. I am also grateful to the maintainers of the open datasets this project depends on — TACO, TrashNet, and PlastOPol — and to the Ultralytics and PyTorch open-source communities whose tools made the detection and classification pipelines possible.</w:t>
      </w:r>
    </w:p>
    <w:p>
      <w:r>
        <w:br w:type="page"/>
      </w:r>
    </w:p>
    <w:p>
      <w:pPr>
        <w:pStyle w:val="Heading1"/>
      </w:pPr>
      <w:r>
        <w:t xml:space="preserve">Declaration of AI Use</w:t>
      </w:r>
    </w:p>
    <w:p>
      <w:pPr>
        <w:spacing w:after="160"/>
        <w:jc w:val="both"/>
      </w:pPr>
      <w:r>
        <w:rPr>
          <w:b w:val="false"/>
          <w:bCs w:val="false"/>
          <w:i w:val="false"/>
          <w:iCs w:val="false"/>
        </w:rPr>
        <w:t xml:space="preserve">Generative AI tooling (an LLM-based coding assistant) was used during this project as a development aid: drafting and refactoring experiment scripts, summarising engineering logs, and assisting with the structure and prose of this report. All experiment design choices, dataset decisions, hyperparameters, and the interpretation of results are the author's own, and every quantitative claim in this report is backed by a script and an output artefact in the project repository that the author ran and reviewed. Where the AI assistant's suggestions were used directly in code, this is noted in the relevant commit history.</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Introduction</w:t>
      </w:r>
    </w:p>
    <w:p>
      <w:pPr>
        <w:pStyle w:val="Heading2"/>
      </w:pPr>
      <w:r>
        <w:t xml:space="preserve">1.1 Problem Statement and Motivation</w:t>
      </w:r>
    </w:p>
    <w:p>
      <w:pPr>
        <w:spacing w:after="160"/>
        <w:jc w:val="both"/>
      </w:pPr>
      <w:r>
        <w:rPr>
          <w:b w:val="false"/>
          <w:bCs w:val="false"/>
          <w:i w:val="false"/>
          <w:iCs w:val="false"/>
        </w:rPr>
        <w:t xml:space="preserve">Improper waste sorting is one of the main reasons recyclable material ends up in landfills or contaminates recycling streams: a single wrongly-sorted item (a greasy pizza box, a half-full bottle) can spoil an entire batch of otherwise recyclable material. Manual sorting does not scale, and existing automated approaches are usually single-shot image classifiers trained on clean, single-object, studio-lit photographs (for example TrashNet), which do not transfer well to real photographs that contain cluttered backgrounds, multiple objects, occlusion, and highly variable lighting. This project asks a narrower and more testable question than "can a model classify trash": can a two-stage system that first finds objects and then verifies their material, evaluated honestly on leakage-audited, source-isolated data, reach a level of precision and recall that would be usable in a real waste-sorting or citizen-reporting product, and can the gap between clean benchmark numbers and real-world performance be measured rather than assumed?</w:t>
      </w:r>
    </w:p>
    <w:p>
      <w:pPr>
        <w:pStyle w:val="Heading2"/>
      </w:pPr>
      <w:r>
        <w:t xml:space="preserve">1.2 Project Objectives</w:t>
      </w:r>
    </w:p>
    <w:p>
      <w:pPr>
        <w:pStyle w:val="ListParagraph"/>
        <w:numPr>
          <w:ilvl w:val="0"/>
          <w:numId w:val="2"/>
        </w:numPr>
        <w:spacing w:after="80"/>
      </w:pPr>
      <w:r>
        <w:t xml:space="preserve">Build an explainable classical machine-learning baseline using a fixed, mathematically defined 637-dimensional handcrafted feature vector, so that every prediction can be traced to concrete, human-interpretable image statistics rather than an opaque embedding.</w:t>
      </w:r>
    </w:p>
    <w:p>
      <w:pPr>
        <w:pStyle w:val="ListParagraph"/>
        <w:numPr>
          <w:ilvl w:val="0"/>
          <w:numId w:val="2"/>
        </w:numPr>
        <w:spacing w:after="80"/>
      </w:pPr>
      <w:r>
        <w:t xml:space="preserve">Build a production-grade two-stage deep-learning pipeline (localisation first, classification second) that outperforms the classical baseline and single-stage classification-first alternatives on real, cluttered scenes.</w:t>
      </w:r>
    </w:p>
    <w:p>
      <w:pPr>
        <w:pStyle w:val="ListParagraph"/>
        <w:numPr>
          <w:ilvl w:val="0"/>
          <w:numId w:val="2"/>
        </w:numPr>
        <w:spacing w:after="80"/>
      </w:pPr>
      <w:r>
        <w:t xml:space="preserve">Audit every dataset used for cross-split leakage, class imbalance, and label noise before trusting any benchmark number, and correct any inflated metric found.</w:t>
      </w:r>
    </w:p>
    <w:p>
      <w:pPr>
        <w:pStyle w:val="ListParagraph"/>
        <w:numPr>
          <w:ilvl w:val="0"/>
          <w:numId w:val="2"/>
        </w:numPr>
        <w:spacing w:after="80"/>
      </w:pPr>
      <w:r>
        <w:t xml:space="preserve">Quantify, rather than assume, the domain gap between studio-style training data and real-world field imagery, and use that measurement to direct further data collection.</w:t>
      </w:r>
    </w:p>
    <w:p>
      <w:pPr>
        <w:pStyle w:val="ListParagraph"/>
        <w:numPr>
          <w:ilvl w:val="0"/>
          <w:numId w:val="2"/>
        </w:numPr>
        <w:spacing w:after="80"/>
      </w:pPr>
      <w:r>
        <w:t xml:space="preserve">Deploy the resulting pipeline as a working web application with a live model API, so the system can be demonstrated end-to-end rather than only reported as offline numbers.</w:t>
      </w:r>
    </w:p>
    <w:p>
      <w:pPr>
        <w:pStyle w:val="ListParagraph"/>
        <w:numPr>
          <w:ilvl w:val="0"/>
          <w:numId w:val="2"/>
        </w:numPr>
        <w:spacing w:after="80"/>
      </w:pPr>
      <w:r>
        <w:t xml:space="preserve">Keep a running engineering log of every failed experiment and its root cause, so negative results are treated as project evidence rather than discarded.</w:t>
      </w:r>
    </w:p>
    <w:p>
      <w:pPr>
        <w:pStyle w:val="Heading2"/>
      </w:pPr>
      <w:r>
        <w:t xml:space="preserve">1.3 Project Scope and Class Taxonomy</w:t>
      </w:r>
    </w:p>
    <w:p>
      <w:pPr>
        <w:spacing w:after="160"/>
        <w:jc w:val="both"/>
      </w:pPr>
      <w:r>
        <w:rPr>
          <w:b w:val="false"/>
          <w:bCs w:val="false"/>
          <w:i w:val="false"/>
          <w:iCs w:val="false"/>
        </w:rPr>
        <w:t xml:space="preserve">The project targets six material classes: plastic, glass, metal, paper, cardboard, and organic. The YOLO localisation datasets are labelled with these six material classes only. The crop-classification branch (Branch B, Stage 2) additionally uses a seventh class, Background, which exists purely to let the classifier veto false-alarm boxes proposed by the detector (floor textures, grass, sand, asphalt, and similar non-waste surfaces). Scope is deliberately limited to still-image input (no video stream processing) and to the six material categories above; contamination state (clean vs. dirty) is out of scope for a learned model and is handled only by a conservative rule-based gate, discussed in Section 7.3.6.</w:t>
      </w:r>
    </w:p>
    <w:p>
      <w:pPr>
        <w:pStyle w:val="Heading2"/>
      </w:pPr>
      <w:r>
        <w:t xml:space="preserve">1.4 Project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B0B7C3" w:sz="1"/>
              <w:left w:val="single" w:color="B0B7C3" w:sz="1"/>
              <w:bottom w:val="single" w:color="B0B7C3" w:sz="1"/>
              <w:right w:val="single" w:color="B0B7C3" w:sz="1"/>
            </w:tcBorders>
            <w:shd w:fill="1F2937" w:val="clear"/>
            <w:tcMar>
              <w:top w:type="dxa" w:w="80"/>
              <w:left w:type="dxa" w:w="120"/>
              <w:bottom w:type="dxa" w:w="80"/>
              <w:right w:type="dxa" w:w="120"/>
            </w:tcMar>
            <w:vAlign w:val="center"/>
          </w:tcPr>
          <w:p>
            <w:r>
              <w:rPr>
                <w:b/>
                <w:bCs/>
                <w:color w:val="FFFFFF"/>
                <w:sz w:val="19"/>
                <w:szCs w:val="19"/>
              </w:rPr>
              <w:t xml:space="preserve">Phase</w:t>
            </w:r>
          </w:p>
        </w:tc>
        <w:tc>
          <w:tcPr>
            <w:tcW w:type="dxa" w:w="2400"/>
            <w:tcBorders>
              <w:top w:val="single" w:color="B0B7C3" w:sz="1"/>
              <w:left w:val="single" w:color="B0B7C3" w:sz="1"/>
              <w:bottom w:val="single" w:color="B0B7C3" w:sz="1"/>
              <w:right w:val="single" w:color="B0B7C3" w:sz="1"/>
            </w:tcBorders>
            <w:shd w:fill="1F2937" w:val="clear"/>
            <w:tcMar>
              <w:top w:type="dxa" w:w="80"/>
              <w:left w:type="dxa" w:w="120"/>
              <w:bottom w:type="dxa" w:w="80"/>
              <w:right w:type="dxa" w:w="120"/>
            </w:tcMar>
            <w:vAlign w:val="center"/>
          </w:tcPr>
          <w:p>
            <w:r>
              <w:rPr>
                <w:b/>
                <w:bCs/>
                <w:color w:val="FFFFFF"/>
                <w:sz w:val="19"/>
                <w:szCs w:val="19"/>
              </w:rPr>
              <w:t xml:space="preserve">Timeframe</w:t>
            </w:r>
          </w:p>
        </w:tc>
        <w:tc>
          <w:tcPr>
            <w:tcW w:type="dxa" w:w="5160"/>
            <w:tcBorders>
              <w:top w:val="single" w:color="B0B7C3" w:sz="1"/>
              <w:left w:val="single" w:color="B0B7C3" w:sz="1"/>
              <w:bottom w:val="single" w:color="B0B7C3" w:sz="1"/>
              <w:right w:val="single" w:color="B0B7C3" w:sz="1"/>
            </w:tcBorders>
            <w:shd w:fill="1F2937" w:val="clear"/>
            <w:tcMar>
              <w:top w:type="dxa" w:w="80"/>
              <w:left w:type="dxa" w:w="120"/>
              <w:bottom w:type="dxa" w:w="80"/>
              <w:right w:type="dxa" w:w="120"/>
            </w:tcMar>
            <w:vAlign w:val="center"/>
          </w:tcPr>
          <w:p>
            <w:r>
              <w:rPr>
                <w:b/>
                <w:bCs/>
                <w:color w:val="FFFFFF"/>
                <w:sz w:val="19"/>
                <w:szCs w:val="19"/>
              </w:rPr>
              <w:t xml:space="preserve">Milestone</w:t>
            </w:r>
          </w:p>
        </w:tc>
      </w:tr>
      <w:tr>
        <w:tc>
          <w:tcPr>
            <w:tcW w:type="dxa" w:w="1800"/>
            <w:tcBorders>
              <w:top w:val="single" w:color="B0B7C3" w:sz="1"/>
              <w:left w:val="single" w:color="B0B7C3" w:sz="1"/>
              <w:bottom w:val="single" w:color="B0B7C3" w:sz="1"/>
              <w:right w:val="single" w:color="B0B7C3" w:sz="1"/>
            </w:tcBorders>
            <w:shd w:fill="F8FAFC" w:val="clear"/>
            <w:tcMar>
              <w:top w:type="dxa" w:w="60"/>
              <w:left w:type="dxa" w:w="120"/>
              <w:bottom w:type="dxa" w:w="60"/>
              <w:right w:type="dxa" w:w="120"/>
            </w:tcMar>
            <w:vAlign w:val="center"/>
          </w:tcPr>
          <w:p>
            <w:r>
              <w:rPr>
                <w:b w:val="false"/>
                <w:bCs w:val="false"/>
                <w:sz w:val="19"/>
                <w:szCs w:val="19"/>
              </w:rPr>
              <w:t xml:space="preserve">Phase 0</w:t>
            </w:r>
          </w:p>
        </w:tc>
        <w:tc>
          <w:tcPr>
            <w:tcW w:type="dxa" w:w="2400"/>
            <w:tcBorders>
              <w:top w:val="single" w:color="B0B7C3" w:sz="1"/>
              <w:left w:val="single" w:color="B0B7C3" w:sz="1"/>
              <w:bottom w:val="single" w:color="B0B7C3" w:sz="1"/>
              <w:right w:val="single" w:color="B0B7C3" w:sz="1"/>
            </w:tcBorders>
            <w:shd w:fill="F8FAFC" w:val="clear"/>
            <w:tcMar>
              <w:top w:type="dxa" w:w="60"/>
              <w:left w:type="dxa" w:w="120"/>
              <w:bottom w:type="dxa" w:w="60"/>
              <w:right w:type="dxa" w:w="120"/>
            </w:tcMar>
            <w:vAlign w:val="center"/>
          </w:tcPr>
          <w:p>
            <w:r>
              <w:rPr>
                <w:b w:val="false"/>
                <w:bCs w:val="false"/>
                <w:sz w:val="19"/>
                <w:szCs w:val="19"/>
              </w:rPr>
              <w:t xml:space="preserve">Weeks 1-3</w:t>
            </w:r>
          </w:p>
        </w:tc>
        <w:tc>
          <w:tcPr>
            <w:tcW w:type="dxa" w:w="5160"/>
            <w:tcBorders>
              <w:top w:val="single" w:color="B0B7C3" w:sz="1"/>
              <w:left w:val="single" w:color="B0B7C3" w:sz="1"/>
              <w:bottom w:val="single" w:color="B0B7C3" w:sz="1"/>
              <w:right w:val="single" w:color="B0B7C3" w:sz="1"/>
            </w:tcBorders>
            <w:shd w:fill="F8FAFC" w:val="clear"/>
            <w:tcMar>
              <w:top w:type="dxa" w:w="60"/>
              <w:left w:type="dxa" w:w="120"/>
              <w:bottom w:type="dxa" w:w="60"/>
              <w:right w:type="dxa" w:w="120"/>
            </w:tcMar>
            <w:vAlign w:val="center"/>
          </w:tcPr>
          <w:p>
            <w:r>
              <w:rPr>
                <w:b w:val="false"/>
                <w:bCs w:val="false"/>
                <w:sz w:val="19"/>
                <w:szCs w:val="19"/>
              </w:rPr>
              <w:t xml:space="preserve">First weak baseline: 17 handcrafted features, ~38-47% accuracy; problem framing confirmed.</w:t>
            </w:r>
          </w:p>
        </w:tc>
      </w:tr>
      <w:tr>
        <w:tc>
          <w:tcPr>
            <w:tcW w:type="dxa" w:w="1800"/>
            <w:tcBorders>
              <w:top w:val="single" w:color="B0B7C3" w:sz="1"/>
              <w:left w:val="single" w:color="B0B7C3" w:sz="1"/>
              <w:bottom w:val="single" w:color="B0B7C3" w:sz="1"/>
              <w:right w:val="single" w:color="B0B7C3" w:sz="1"/>
            </w:tcBorders>
            <w:shd w:fill="FFFFFF" w:val="clear"/>
            <w:tcMar>
              <w:top w:type="dxa" w:w="60"/>
              <w:left w:type="dxa" w:w="120"/>
              <w:bottom w:type="dxa" w:w="60"/>
              <w:right w:type="dxa" w:w="120"/>
            </w:tcMar>
            <w:vAlign w:val="center"/>
          </w:tcPr>
          <w:p>
            <w:r>
              <w:rPr>
                <w:b w:val="false"/>
                <w:bCs w:val="false"/>
                <w:sz w:val="19"/>
                <w:szCs w:val="19"/>
              </w:rPr>
              <w:t xml:space="preserve">Phase 1</w:t>
            </w:r>
          </w:p>
        </w:tc>
        <w:tc>
          <w:tcPr>
            <w:tcW w:type="dxa" w:w="2400"/>
            <w:tcBorders>
              <w:top w:val="single" w:color="B0B7C3" w:sz="1"/>
              <w:left w:val="single" w:color="B0B7C3" w:sz="1"/>
              <w:bottom w:val="single" w:color="B0B7C3" w:sz="1"/>
              <w:right w:val="single" w:color="B0B7C3" w:sz="1"/>
            </w:tcBorders>
            <w:shd w:fill="FFFFFF" w:val="clear"/>
            <w:tcMar>
              <w:top w:type="dxa" w:w="60"/>
              <w:left w:type="dxa" w:w="120"/>
              <w:bottom w:type="dxa" w:w="60"/>
              <w:right w:type="dxa" w:w="120"/>
            </w:tcMar>
            <w:vAlign w:val="center"/>
          </w:tcPr>
          <w:p>
            <w:r>
              <w:rPr>
                <w:b w:val="false"/>
                <w:bCs w:val="false"/>
                <w:sz w:val="19"/>
                <w:szCs w:val="19"/>
              </w:rPr>
              <w:t xml:space="preserve">Weeks 4-6</w:t>
            </w:r>
          </w:p>
        </w:tc>
        <w:tc>
          <w:tcPr>
            <w:tcW w:type="dxa" w:w="5160"/>
            <w:tcBorders>
              <w:top w:val="single" w:color="B0B7C3" w:sz="1"/>
              <w:left w:val="single" w:color="B0B7C3" w:sz="1"/>
              <w:bottom w:val="single" w:color="B0B7C3" w:sz="1"/>
              <w:right w:val="single" w:color="B0B7C3" w:sz="1"/>
            </w:tcBorders>
            <w:shd w:fill="FFFFFF" w:val="clear"/>
            <w:tcMar>
              <w:top w:type="dxa" w:w="60"/>
              <w:left w:type="dxa" w:w="120"/>
              <w:bottom w:type="dxa" w:w="60"/>
              <w:right w:type="dxa" w:w="120"/>
            </w:tcMar>
            <w:vAlign w:val="center"/>
          </w:tcPr>
          <w:p>
            <w:r>
              <w:rPr>
                <w:b w:val="false"/>
                <w:bCs w:val="false"/>
                <w:sz w:val="19"/>
                <w:szCs w:val="19"/>
              </w:rPr>
              <w:t xml:space="preserve">First real detector trained; dataset audited and rebuilt after early quality issues found.</w:t>
            </w:r>
          </w:p>
        </w:tc>
      </w:tr>
      <w:tr>
        <w:tc>
          <w:tcPr>
            <w:tcW w:type="dxa" w:w="1800"/>
            <w:tcBorders>
              <w:top w:val="single" w:color="B0B7C3" w:sz="1"/>
              <w:left w:val="single" w:color="B0B7C3" w:sz="1"/>
              <w:bottom w:val="single" w:color="B0B7C3" w:sz="1"/>
              <w:right w:val="single" w:color="B0B7C3" w:sz="1"/>
            </w:tcBorders>
            <w:shd w:fill="F8FAFC" w:val="clear"/>
            <w:tcMar>
              <w:top w:type="dxa" w:w="60"/>
              <w:left w:type="dxa" w:w="120"/>
              <w:bottom w:type="dxa" w:w="60"/>
              <w:right w:type="dxa" w:w="120"/>
            </w:tcMar>
            <w:vAlign w:val="center"/>
          </w:tcPr>
          <w:p>
            <w:r>
              <w:rPr>
                <w:b w:val="false"/>
                <w:bCs w:val="false"/>
                <w:sz w:val="19"/>
                <w:szCs w:val="19"/>
              </w:rPr>
              <w:t xml:space="preserve">Phase 2</w:t>
            </w:r>
          </w:p>
        </w:tc>
        <w:tc>
          <w:tcPr>
            <w:tcW w:type="dxa" w:w="2400"/>
            <w:tcBorders>
              <w:top w:val="single" w:color="B0B7C3" w:sz="1"/>
              <w:left w:val="single" w:color="B0B7C3" w:sz="1"/>
              <w:bottom w:val="single" w:color="B0B7C3" w:sz="1"/>
              <w:right w:val="single" w:color="B0B7C3" w:sz="1"/>
            </w:tcBorders>
            <w:shd w:fill="F8FAFC" w:val="clear"/>
            <w:tcMar>
              <w:top w:type="dxa" w:w="60"/>
              <w:left w:type="dxa" w:w="120"/>
              <w:bottom w:type="dxa" w:w="60"/>
              <w:right w:type="dxa" w:w="120"/>
            </w:tcMar>
            <w:vAlign w:val="center"/>
          </w:tcPr>
          <w:p>
            <w:r>
              <w:rPr>
                <w:b w:val="false"/>
                <w:bCs w:val="false"/>
                <w:sz w:val="19"/>
                <w:szCs w:val="19"/>
              </w:rPr>
              <w:t xml:space="preserve">Weeks 7-9</w:t>
            </w:r>
          </w:p>
        </w:tc>
        <w:tc>
          <w:tcPr>
            <w:tcW w:type="dxa" w:w="5160"/>
            <w:tcBorders>
              <w:top w:val="single" w:color="B0B7C3" w:sz="1"/>
              <w:left w:val="single" w:color="B0B7C3" w:sz="1"/>
              <w:bottom w:val="single" w:color="B0B7C3" w:sz="1"/>
              <w:right w:val="single" w:color="B0B7C3" w:sz="1"/>
            </w:tcBorders>
            <w:shd w:fill="F8FAFC" w:val="clear"/>
            <w:tcMar>
              <w:top w:type="dxa" w:w="60"/>
              <w:left w:type="dxa" w:w="120"/>
              <w:bottom w:type="dxa" w:w="60"/>
              <w:right w:type="dxa" w:w="120"/>
            </w:tcMar>
            <w:vAlign w:val="center"/>
          </w:tcPr>
          <w:p>
            <w:r>
              <w:rPr>
                <w:b w:val="false"/>
                <w:bCs w:val="false"/>
                <w:sz w:val="19"/>
                <w:szCs w:val="19"/>
              </w:rPr>
              <w:t xml:space="preserve">Source-level dataset honesty pass after lecturer feedback; class-balance and imbalance made explicit.</w:t>
            </w:r>
          </w:p>
        </w:tc>
      </w:tr>
      <w:tr>
        <w:tc>
          <w:tcPr>
            <w:tcW w:type="dxa" w:w="1800"/>
            <w:tcBorders>
              <w:top w:val="single" w:color="B0B7C3" w:sz="1"/>
              <w:left w:val="single" w:color="B0B7C3" w:sz="1"/>
              <w:bottom w:val="single" w:color="B0B7C3" w:sz="1"/>
              <w:right w:val="single" w:color="B0B7C3" w:sz="1"/>
            </w:tcBorders>
            <w:shd w:fill="FFFFFF" w:val="clear"/>
            <w:tcMar>
              <w:top w:type="dxa" w:w="60"/>
              <w:left w:type="dxa" w:w="120"/>
              <w:bottom w:type="dxa" w:w="60"/>
              <w:right w:type="dxa" w:w="120"/>
            </w:tcMar>
            <w:vAlign w:val="center"/>
          </w:tcPr>
          <w:p>
            <w:r>
              <w:rPr>
                <w:b w:val="false"/>
                <w:bCs w:val="false"/>
                <w:sz w:val="19"/>
                <w:szCs w:val="19"/>
              </w:rPr>
              <w:t xml:space="preserve">Phase 3</w:t>
            </w:r>
          </w:p>
        </w:tc>
        <w:tc>
          <w:tcPr>
            <w:tcW w:type="dxa" w:w="2400"/>
            <w:tcBorders>
              <w:top w:val="single" w:color="B0B7C3" w:sz="1"/>
              <w:left w:val="single" w:color="B0B7C3" w:sz="1"/>
              <w:bottom w:val="single" w:color="B0B7C3" w:sz="1"/>
              <w:right w:val="single" w:color="B0B7C3" w:sz="1"/>
            </w:tcBorders>
            <w:shd w:fill="FFFFFF" w:val="clear"/>
            <w:tcMar>
              <w:top w:type="dxa" w:w="60"/>
              <w:left w:type="dxa" w:w="120"/>
              <w:bottom w:type="dxa" w:w="60"/>
              <w:right w:type="dxa" w:w="120"/>
            </w:tcMar>
            <w:vAlign w:val="center"/>
          </w:tcPr>
          <w:p>
            <w:r>
              <w:rPr>
                <w:b w:val="false"/>
                <w:bCs w:val="false"/>
                <w:sz w:val="19"/>
                <w:szCs w:val="19"/>
              </w:rPr>
              <w:t xml:space="preserve">Weeks 10-13</w:t>
            </w:r>
          </w:p>
        </w:tc>
        <w:tc>
          <w:tcPr>
            <w:tcW w:type="dxa" w:w="5160"/>
            <w:tcBorders>
              <w:top w:val="single" w:color="B0B7C3" w:sz="1"/>
              <w:left w:val="single" w:color="B0B7C3" w:sz="1"/>
              <w:bottom w:val="single" w:color="B0B7C3" w:sz="1"/>
              <w:right w:val="single" w:color="B0B7C3" w:sz="1"/>
            </w:tcBorders>
            <w:shd w:fill="FFFFFF" w:val="clear"/>
            <w:tcMar>
              <w:top w:type="dxa" w:w="60"/>
              <w:left w:type="dxa" w:w="120"/>
              <w:bottom w:type="dxa" w:w="60"/>
              <w:right w:type="dxa" w:w="120"/>
            </w:tcMar>
            <w:vAlign w:val="center"/>
          </w:tcPr>
          <w:p>
            <w:r>
              <w:rPr>
                <w:b w:val="false"/>
                <w:bCs w:val="false"/>
                <w:sz w:val="19"/>
                <w:szCs w:val="19"/>
              </w:rPr>
              <w:t xml:space="preserve">Two-stage architecture adopted (localisation-first); classification-first alternative implemented and measured for comparison.</w:t>
            </w:r>
          </w:p>
        </w:tc>
      </w:tr>
      <w:tr>
        <w:tc>
          <w:tcPr>
            <w:tcW w:type="dxa" w:w="1800"/>
            <w:tcBorders>
              <w:top w:val="single" w:color="B0B7C3" w:sz="1"/>
              <w:left w:val="single" w:color="B0B7C3" w:sz="1"/>
              <w:bottom w:val="single" w:color="B0B7C3" w:sz="1"/>
              <w:right w:val="single" w:color="B0B7C3" w:sz="1"/>
            </w:tcBorders>
            <w:shd w:fill="F8FAFC" w:val="clear"/>
            <w:tcMar>
              <w:top w:type="dxa" w:w="60"/>
              <w:left w:type="dxa" w:w="120"/>
              <w:bottom w:type="dxa" w:w="60"/>
              <w:right w:type="dxa" w:w="120"/>
            </w:tcMar>
            <w:vAlign w:val="center"/>
          </w:tcPr>
          <w:p>
            <w:r>
              <w:rPr>
                <w:b w:val="false"/>
                <w:bCs w:val="false"/>
                <w:sz w:val="19"/>
                <w:szCs w:val="19"/>
              </w:rPr>
              <w:t xml:space="preserve">Phase 4</w:t>
            </w:r>
          </w:p>
        </w:tc>
        <w:tc>
          <w:tcPr>
            <w:tcW w:type="dxa" w:w="2400"/>
            <w:tcBorders>
              <w:top w:val="single" w:color="B0B7C3" w:sz="1"/>
              <w:left w:val="single" w:color="B0B7C3" w:sz="1"/>
              <w:bottom w:val="single" w:color="B0B7C3" w:sz="1"/>
              <w:right w:val="single" w:color="B0B7C3" w:sz="1"/>
            </w:tcBorders>
            <w:shd w:fill="F8FAFC" w:val="clear"/>
            <w:tcMar>
              <w:top w:type="dxa" w:w="60"/>
              <w:left w:type="dxa" w:w="120"/>
              <w:bottom w:type="dxa" w:w="60"/>
              <w:right w:type="dxa" w:w="120"/>
            </w:tcMar>
            <w:vAlign w:val="center"/>
          </w:tcPr>
          <w:p>
            <w:r>
              <w:rPr>
                <w:b w:val="false"/>
                <w:bCs w:val="false"/>
                <w:sz w:val="19"/>
                <w:szCs w:val="19"/>
              </w:rPr>
              <w:t xml:space="preserve">Weeks 14-16</w:t>
            </w:r>
          </w:p>
        </w:tc>
        <w:tc>
          <w:tcPr>
            <w:tcW w:type="dxa" w:w="5160"/>
            <w:tcBorders>
              <w:top w:val="single" w:color="B0B7C3" w:sz="1"/>
              <w:left w:val="single" w:color="B0B7C3" w:sz="1"/>
              <w:bottom w:val="single" w:color="B0B7C3" w:sz="1"/>
              <w:right w:val="single" w:color="B0B7C3" w:sz="1"/>
            </w:tcBorders>
            <w:shd w:fill="F8FAFC" w:val="clear"/>
            <w:tcMar>
              <w:top w:type="dxa" w:w="60"/>
              <w:left w:type="dxa" w:w="120"/>
              <w:bottom w:type="dxa" w:w="60"/>
              <w:right w:type="dxa" w:w="120"/>
            </w:tcMar>
            <w:vAlign w:val="center"/>
          </w:tcPr>
          <w:p>
            <w:r>
              <w:rPr>
                <w:b w:val="false"/>
                <w:bCs w:val="false"/>
                <w:sz w:val="19"/>
                <w:szCs w:val="19"/>
              </w:rPr>
              <w:t xml:space="preserve">Multimodal fusion (ConvNeXt + 637 features) and adaptive scene engine built; web GUI reworked around the pipeline.</w:t>
            </w:r>
          </w:p>
        </w:tc>
      </w:tr>
      <w:tr>
        <w:tc>
          <w:tcPr>
            <w:tcW w:type="dxa" w:w="1800"/>
            <w:tcBorders>
              <w:top w:val="single" w:color="B0B7C3" w:sz="1"/>
              <w:left w:val="single" w:color="B0B7C3" w:sz="1"/>
              <w:bottom w:val="single" w:color="B0B7C3" w:sz="1"/>
              <w:right w:val="single" w:color="B0B7C3" w:sz="1"/>
            </w:tcBorders>
            <w:shd w:fill="FFFFFF" w:val="clear"/>
            <w:tcMar>
              <w:top w:type="dxa" w:w="60"/>
              <w:left w:type="dxa" w:w="120"/>
              <w:bottom w:type="dxa" w:w="60"/>
              <w:right w:type="dxa" w:w="120"/>
            </w:tcMar>
            <w:vAlign w:val="center"/>
          </w:tcPr>
          <w:p>
            <w:r>
              <w:rPr>
                <w:b w:val="false"/>
                <w:bCs w:val="false"/>
                <w:sz w:val="19"/>
                <w:szCs w:val="19"/>
              </w:rPr>
              <w:t xml:space="preserve">Phase 5</w:t>
            </w:r>
          </w:p>
        </w:tc>
        <w:tc>
          <w:tcPr>
            <w:tcW w:type="dxa" w:w="2400"/>
            <w:tcBorders>
              <w:top w:val="single" w:color="B0B7C3" w:sz="1"/>
              <w:left w:val="single" w:color="B0B7C3" w:sz="1"/>
              <w:bottom w:val="single" w:color="B0B7C3" w:sz="1"/>
              <w:right w:val="single" w:color="B0B7C3" w:sz="1"/>
            </w:tcBorders>
            <w:shd w:fill="FFFFFF" w:val="clear"/>
            <w:tcMar>
              <w:top w:type="dxa" w:w="60"/>
              <w:left w:type="dxa" w:w="120"/>
              <w:bottom w:type="dxa" w:w="60"/>
              <w:right w:type="dxa" w:w="120"/>
            </w:tcMar>
            <w:vAlign w:val="center"/>
          </w:tcPr>
          <w:p>
            <w:r>
              <w:rPr>
                <w:b w:val="false"/>
                <w:bCs w:val="false"/>
                <w:sz w:val="19"/>
                <w:szCs w:val="19"/>
              </w:rPr>
              <w:t xml:space="preserve">Weeks 17-19</w:t>
            </w:r>
          </w:p>
        </w:tc>
        <w:tc>
          <w:tcPr>
            <w:tcW w:type="dxa" w:w="5160"/>
            <w:tcBorders>
              <w:top w:val="single" w:color="B0B7C3" w:sz="1"/>
              <w:left w:val="single" w:color="B0B7C3" w:sz="1"/>
              <w:bottom w:val="single" w:color="B0B7C3" w:sz="1"/>
              <w:right w:val="single" w:color="B0B7C3" w:sz="1"/>
            </w:tcBorders>
            <w:shd w:fill="FFFFFF" w:val="clear"/>
            <w:tcMar>
              <w:top w:type="dxa" w:w="60"/>
              <w:left w:type="dxa" w:w="120"/>
              <w:bottom w:type="dxa" w:w="60"/>
              <w:right w:type="dxa" w:w="120"/>
            </w:tcMar>
            <w:vAlign w:val="center"/>
          </w:tcPr>
          <w:p>
            <w:r>
              <w:rPr>
                <w:b w:val="false"/>
                <w:bCs w:val="false"/>
                <w:sz w:val="19"/>
                <w:szCs w:val="19"/>
              </w:rPr>
              <w:t xml:space="preserve">Hard-case retraining; YOLOv8/YOLOv11/YOLO26n architecture comparison.</w:t>
            </w:r>
          </w:p>
        </w:tc>
      </w:tr>
      <w:tr>
        <w:tc>
          <w:tcPr>
            <w:tcW w:type="dxa" w:w="1800"/>
            <w:tcBorders>
              <w:top w:val="single" w:color="B0B7C3" w:sz="1"/>
              <w:left w:val="single" w:color="B0B7C3" w:sz="1"/>
              <w:bottom w:val="single" w:color="B0B7C3" w:sz="1"/>
              <w:right w:val="single" w:color="B0B7C3" w:sz="1"/>
            </w:tcBorders>
            <w:shd w:fill="F8FAFC" w:val="clear"/>
            <w:tcMar>
              <w:top w:type="dxa" w:w="60"/>
              <w:left w:type="dxa" w:w="120"/>
              <w:bottom w:type="dxa" w:w="60"/>
              <w:right w:type="dxa" w:w="120"/>
            </w:tcMar>
            <w:vAlign w:val="center"/>
          </w:tcPr>
          <w:p>
            <w:r>
              <w:rPr>
                <w:b w:val="false"/>
                <w:bCs w:val="false"/>
                <w:sz w:val="19"/>
                <w:szCs w:val="19"/>
              </w:rPr>
              <w:t xml:space="preserve">Phase 6</w:t>
            </w:r>
          </w:p>
        </w:tc>
        <w:tc>
          <w:tcPr>
            <w:tcW w:type="dxa" w:w="2400"/>
            <w:tcBorders>
              <w:top w:val="single" w:color="B0B7C3" w:sz="1"/>
              <w:left w:val="single" w:color="B0B7C3" w:sz="1"/>
              <w:bottom w:val="single" w:color="B0B7C3" w:sz="1"/>
              <w:right w:val="single" w:color="B0B7C3" w:sz="1"/>
            </w:tcBorders>
            <w:shd w:fill="F8FAFC" w:val="clear"/>
            <w:tcMar>
              <w:top w:type="dxa" w:w="60"/>
              <w:left w:type="dxa" w:w="120"/>
              <w:bottom w:type="dxa" w:w="60"/>
              <w:right w:type="dxa" w:w="120"/>
            </w:tcMar>
            <w:vAlign w:val="center"/>
          </w:tcPr>
          <w:p>
            <w:r>
              <w:rPr>
                <w:b w:val="false"/>
                <w:bCs w:val="false"/>
                <w:sz w:val="19"/>
                <w:szCs w:val="19"/>
              </w:rPr>
              <w:t xml:space="preserve">Weeks 20-21</w:t>
            </w:r>
          </w:p>
        </w:tc>
        <w:tc>
          <w:tcPr>
            <w:tcW w:type="dxa" w:w="5160"/>
            <w:tcBorders>
              <w:top w:val="single" w:color="B0B7C3" w:sz="1"/>
              <w:left w:val="single" w:color="B0B7C3" w:sz="1"/>
              <w:bottom w:val="single" w:color="B0B7C3" w:sz="1"/>
              <w:right w:val="single" w:color="B0B7C3" w:sz="1"/>
            </w:tcBorders>
            <w:shd w:fill="F8FAFC" w:val="clear"/>
            <w:tcMar>
              <w:top w:type="dxa" w:w="60"/>
              <w:left w:type="dxa" w:w="120"/>
              <w:bottom w:type="dxa" w:w="60"/>
              <w:right w:type="dxa" w:w="120"/>
            </w:tcMar>
            <w:vAlign w:val="center"/>
          </w:tcPr>
          <w:p>
            <w:r>
              <w:rPr>
                <w:b w:val="false"/>
                <w:bCs w:val="false"/>
                <w:sz w:val="19"/>
                <w:szCs w:val="19"/>
              </w:rPr>
              <w:t xml:space="preserve">Cross-split leakage audit run across ~79,000 images; all headline metrics corrected and re-measured.</w:t>
            </w:r>
          </w:p>
        </w:tc>
      </w:tr>
      <w:tr>
        <w:tc>
          <w:tcPr>
            <w:tcW w:type="dxa" w:w="1800"/>
            <w:tcBorders>
              <w:top w:val="single" w:color="B0B7C3" w:sz="1"/>
              <w:left w:val="single" w:color="B0B7C3" w:sz="1"/>
              <w:bottom w:val="single" w:color="B0B7C3" w:sz="1"/>
              <w:right w:val="single" w:color="B0B7C3" w:sz="1"/>
            </w:tcBorders>
            <w:shd w:fill="FFFFFF" w:val="clear"/>
            <w:tcMar>
              <w:top w:type="dxa" w:w="60"/>
              <w:left w:type="dxa" w:w="120"/>
              <w:bottom w:type="dxa" w:w="60"/>
              <w:right w:type="dxa" w:w="120"/>
            </w:tcMar>
            <w:vAlign w:val="center"/>
          </w:tcPr>
          <w:p>
            <w:r>
              <w:rPr>
                <w:b w:val="false"/>
                <w:bCs w:val="false"/>
                <w:sz w:val="19"/>
                <w:szCs w:val="19"/>
              </w:rPr>
              <w:t xml:space="preserve">Phase 7</w:t>
            </w:r>
          </w:p>
        </w:tc>
        <w:tc>
          <w:tcPr>
            <w:tcW w:type="dxa" w:w="2400"/>
            <w:tcBorders>
              <w:top w:val="single" w:color="B0B7C3" w:sz="1"/>
              <w:left w:val="single" w:color="B0B7C3" w:sz="1"/>
              <w:bottom w:val="single" w:color="B0B7C3" w:sz="1"/>
              <w:right w:val="single" w:color="B0B7C3" w:sz="1"/>
            </w:tcBorders>
            <w:shd w:fill="FFFFFF" w:val="clear"/>
            <w:tcMar>
              <w:top w:type="dxa" w:w="60"/>
              <w:left w:type="dxa" w:w="120"/>
              <w:bottom w:type="dxa" w:w="60"/>
              <w:right w:type="dxa" w:w="120"/>
            </w:tcMar>
            <w:vAlign w:val="center"/>
          </w:tcPr>
          <w:p>
            <w:r>
              <w:rPr>
                <w:b w:val="false"/>
                <w:bCs w:val="false"/>
                <w:sz w:val="19"/>
                <w:szCs w:val="19"/>
              </w:rPr>
              <w:t xml:space="preserve">Weeks 22-24</w:t>
            </w:r>
          </w:p>
        </w:tc>
        <w:tc>
          <w:tcPr>
            <w:tcW w:type="dxa" w:w="5160"/>
            <w:tcBorders>
              <w:top w:val="single" w:color="B0B7C3" w:sz="1"/>
              <w:left w:val="single" w:color="B0B7C3" w:sz="1"/>
              <w:bottom w:val="single" w:color="B0B7C3" w:sz="1"/>
              <w:right w:val="single" w:color="B0B7C3" w:sz="1"/>
            </w:tcBorders>
            <w:shd w:fill="FFFFFF" w:val="clear"/>
            <w:tcMar>
              <w:top w:type="dxa" w:w="60"/>
              <w:left w:type="dxa" w:w="120"/>
              <w:bottom w:type="dxa" w:w="60"/>
              <w:right w:type="dxa" w:w="120"/>
            </w:tcMar>
            <w:vAlign w:val="center"/>
          </w:tcPr>
          <w:p>
            <w:r>
              <w:rPr>
                <w:b w:val="false"/>
                <w:bCs w:val="false"/>
                <w:sz w:val="19"/>
                <w:szCs w:val="19"/>
              </w:rPr>
              <w:t xml:space="preserve">Production hardening: confidence/operating-point tuning, hard-negative mining, fusion bug fixes, final report writing.</w:t>
            </w:r>
          </w:p>
        </w:tc>
      </w:tr>
    </w:tbl>
    <w:p>
      <w:pPr>
        <w:spacing w:after="200"/>
      </w:pPr>
    </w:p>
    <w:p>
      <w:pPr>
        <w:pStyle w:val="Heading2"/>
      </w:pPr>
      <w:r>
        <w:t xml:space="preserve">1.5 Project Outcomes</w:t>
      </w:r>
    </w:p>
    <w:p>
      <w:pPr>
        <w:pStyle w:val="ListParagraph"/>
        <w:numPr>
          <w:ilvl w:val="0"/>
          <w:numId w:val="3"/>
        </w:numPr>
        <w:spacing w:after="80"/>
      </w:pPr>
      <w:r>
        <w:t xml:space="preserve">A working, deployed two-branch waste detection and classification system, live at khoaphung-wastewise-ai.hf.space.</w:t>
      </w:r>
    </w:p>
    <w:p>
      <w:pPr>
        <w:pStyle w:val="ListParagraph"/>
        <w:numPr>
          <w:ilvl w:val="0"/>
          <w:numId w:val="3"/>
        </w:numPr>
        <w:spacing w:after="80"/>
      </w:pPr>
      <w:r>
        <w:t xml:space="preserve">A leakage-audited, source-aware set of benchmark numbers for both branches, replacing an earlier set of inflated numbers.</w:t>
      </w:r>
    </w:p>
    <w:p>
      <w:pPr>
        <w:pStyle w:val="ListParagraph"/>
        <w:numPr>
          <w:ilvl w:val="0"/>
          <w:numId w:val="3"/>
        </w:numPr>
        <w:spacing w:after="80"/>
      </w:pPr>
      <w:r>
        <w:t xml:space="preserve">A documented, sixteen-entry failure log covering data leakage, broken evaluation code, cherry-picked headline claims, tiny-object recall limits, environment failures, and fusion bugs, each with a measured fix or an honest rejection of a proposed fix.</w:t>
      </w:r>
    </w:p>
    <w:p>
      <w:pPr>
        <w:pStyle w:val="ListParagraph"/>
        <w:numPr>
          <w:ilvl w:val="0"/>
          <w:numId w:val="3"/>
        </w:numPr>
        <w:spacing w:after="80"/>
      </w:pPr>
      <w:r>
        <w:t xml:space="preserve">A quantified account of the domain gap between studio and field imagery, used to prioritise a targeted field-data expansion (PlastOPol) rather than blind re-sampling of existing data.</w:t>
      </w:r>
    </w:p>
    <w:p>
      <w:pPr>
        <w:pStyle w:val="Heading2"/>
      </w:pPr>
      <w:r>
        <w:t xml:space="preserve">1.6 Project Evaluation</w:t>
      </w:r>
    </w:p>
    <w:p>
      <w:pPr>
        <w:spacing w:after="160"/>
        <w:jc w:val="both"/>
      </w:pPr>
      <w:r>
        <w:rPr>
          <w:b w:val="false"/>
          <w:bCs w:val="false"/>
          <w:i w:val="false"/>
          <w:iCs w:val="false"/>
        </w:rPr>
        <w:t xml:space="preserve">The project is evaluated against its own stated objectives rather than against an arbitrary external product, because no directly comparable open two-stage waste pipeline with a leakage audit exists publicly at the time of writing. Success is defined operationally: (a) every headline number must be reproducible from a script and a run folder in the repository; (b) every number must be re-measured after any dataset correction; (c) any proposed model or data change must clear a pre-registered promotion gate (a measurable improvement on a held-out split with no more than a small, explicitly bounded regression elsewhere) before being deployed. Section 9 (Failures, Root Causes, and Fixes) and Section 10 (Product Evaluation) apply this standard explicitly to every major decision made in the project.</w:t>
      </w:r>
    </w:p>
    <w:p>
      <w:r>
        <w:br w:type="page"/>
      </w:r>
    </w:p>
    <w:p>
      <w:pPr>
        <w:pStyle w:val="Heading1"/>
      </w:pPr>
      <w:r>
        <w:t xml:space="preserve">2. Literature Review</w:t>
      </w:r>
    </w:p>
    <w:p>
      <w:pPr>
        <w:pStyle w:val="Heading2"/>
      </w:pPr>
      <w:r>
        <w:t xml:space="preserve">2.1 Object Detection Architectures</w:t>
      </w:r>
    </w:p>
    <w:p>
      <w:pPr>
        <w:spacing w:after="160"/>
        <w:jc w:val="both"/>
      </w:pPr>
      <w:r>
        <w:rPr>
          <w:b w:val="false"/>
          <w:bCs w:val="false"/>
          <w:i w:val="false"/>
          <w:iCs w:val="false"/>
        </w:rPr>
        <w:t xml:space="preserve">The detection branch builds on the YOLO ("You Only Look Once") family of single-stage object detectors, which frame detection as a direct regression from image pixels to bounding boxes and class scores rather than the two-stage propose-then-classify design of earlier region-based detectors. Ultralytics' YOLO11 (Jocher and Qiu, 2024) and YOLO26 (Ultralytics, 2025) are the most recent iterations of this line, with YOLO26 in particular introducing a native end-to-end, Non-Maximum-Suppression-free detection head and training-time optimisations (MuSGD, Progressive Loss Balancing, Small-Target-Aware Label assignment) aimed at edge deployment. WasteWise benchmarks YOLOv11 against YOLO26n directly on the project's own hard-case dataset (Section 8.3) rather than assuming the newer architecture is automatically better, following the general finding in the object-detection literature that architecture gains are highly dataset-dependent.</w:t>
      </w:r>
    </w:p>
    <w:p>
      <w:pPr>
        <w:pStyle w:val="Heading2"/>
      </w:pPr>
      <w:r>
        <w:t xml:space="preserve">2.2 Handcrafted Features and Classical Computer Vision</w:t>
      </w:r>
    </w:p>
    <w:p>
      <w:pPr>
        <w:spacing w:after="160"/>
        <w:jc w:val="both"/>
      </w:pPr>
      <w:r>
        <w:rPr>
          <w:b w:val="false"/>
          <w:bCs w:val="false"/>
          <w:i w:val="false"/>
          <w:iCs w:val="false"/>
        </w:rPr>
        <w:t xml:space="preserve">Before end-to-end deep networks became dominant, object and texture recognition relied on hand-designed descriptors. The Histogram of Oriented Gradients descriptor (Dalal and Triggs, 2005) captures local edge-orientation statistics and remains a strong, fully interpretable shape descriptor; it forms 576 of the 637 dimensions in Branch A's feature vector. Classical ensemble and boosting classifiers - Random Forests (Breiman, 2001) and XGBoost (Chen and Guestrin, 2016) - are used as the learning algorithms on top of these features because, unlike deep networks, their decision boundaries can be inspected through feature-importance analysis, which is why Branch A is described as the explainable branch throughout this report. Principal Component Analysis (Pearson, 1901; Jolliffe, 2002) is used to study how compressible the 637-D representation is without materially harming classification accuracy.</w:t>
      </w:r>
    </w:p>
    <w:p>
      <w:pPr>
        <w:pStyle w:val="Heading2"/>
      </w:pPr>
      <w:r>
        <w:t xml:space="preserve">2.3 Deep Classification Architectures</w:t>
      </w:r>
    </w:p>
    <w:p>
      <w:pPr>
        <w:spacing w:after="160"/>
        <w:jc w:val="both"/>
      </w:pPr>
      <w:r>
        <w:rPr>
          <w:b w:val="false"/>
          <w:bCs w:val="false"/>
          <w:i w:val="false"/>
          <w:iCs w:val="false"/>
        </w:rPr>
        <w:t xml:space="preserve">For crop-level material classification, the project compares MobileNetV2, ResNet50, EfficientNetB0 (Tan and Le, 2019), and ConvNeXt (Liu et al., 2022; Woo et al., 2023 for ConvNeXtV2). ConvNeXt modernises a plain convolutional network with design choices borrowed from Vision Transformers (large kernel sizes, inverted bottlenecks, layer normalisation) while remaining a convolutional network, and was chosen as the final Stage 2 backbone because it matched or exceeded transformer-style accuracy in the project's own architecture comparison (Section 8.2) at a deployable model size. Grad-CAM (Selvaraju et al., 2017) is used in an alternative, ultimately rejected pipeline design (Section 7.3.7) to derive object localisation directly from a classifier's gradient-based class-activation map, without a dedicated detector.</w:t>
      </w:r>
    </w:p>
    <w:p>
      <w:pPr>
        <w:pStyle w:val="Heading2"/>
      </w:pPr>
      <w:r>
        <w:t xml:space="preserve">2.4 Waste Detection Datasets and Prior Systems</w:t>
      </w:r>
    </w:p>
    <w:p>
      <w:pPr>
        <w:spacing w:after="160"/>
        <w:jc w:val="both"/>
      </w:pPr>
      <w:r>
        <w:rPr>
          <w:b w:val="false"/>
          <w:bCs w:val="false"/>
          <w:i w:val="false"/>
          <w:iCs w:val="false"/>
        </w:rPr>
        <w:t xml:space="preserve">TrashNet (Yang and Thung, 2016) is the most widely used waste-image benchmark and consists of 2,527 single-object photographs taken against a clean background, across six categories; its main limitation for this project is exactly this studio-style acquisition, which does not represent street- or beach-level clutter. TACO (Proenca and Simoes, 2020) is an open, crowdsourced litter-detection dataset of real-world scenes with instance-level segmentation across dozens of litter categories, and is the primary source of realistic, cluttered field imagery used in this project's hard-case and clean-field evaluation splits. PlastOPol (Roboflow Universe export of the PlastOPol marine-litter-monitoring project; companion system paper published in Environmental Modelling &amp; Software, 2023) contributes 2,418 real-world, ground-level litter images collected through a citizen-science mobile application, used in this project as a one-class ("litter") source of new field data once the existing TACO field images were found to already be exhausted by the deployed model (Section 9, Failure F11).</w:t>
      </w:r>
    </w:p>
    <w:p>
      <w:pPr>
        <w:pStyle w:val="Heading2"/>
      </w:pPr>
      <w:r>
        <w:t xml:space="preserve">2.5 Context-Aware Fusion</w:t>
      </w:r>
    </w:p>
    <w:p>
      <w:pPr>
        <w:spacing w:after="160"/>
        <w:jc w:val="both"/>
      </w:pPr>
      <w:r>
        <w:rPr>
          <w:b w:val="false"/>
          <w:bCs w:val="false"/>
          <w:i w:val="false"/>
          <w:iCs w:val="false"/>
        </w:rPr>
        <w:t xml:space="preserve">Human visual search is known to be strongly guided by scene context: Torralba, Oliva, Castelhano, and Henderson (2006) show that global scene statistics let observers predict where an object of a given category is likely to appear well before individual objects are recognised. WasteWise's Bayesian context-prior module is a simplified, engineering application of this idea: an HSV-based scene classifier labels the scene (beach, grass, street, indoor) and re-weights the classifier's material probabilities by a per-scene prior (for example, a beach scene up-weights plastic and glass relative to metal), which is then renormalised. Slicing Aided Hyper Inference (Akyon, Altinuc, and Temizel, 2022) was evaluated as a candidate fix for small-object recall (Section 9, Failure F4) and is discussed as a rejected alternative.</w:t>
      </w:r>
    </w:p>
    <w:p>
      <w:r>
        <w:br w:type="page"/>
      </w:r>
    </w:p>
    <w:p>
      <w:pPr>
        <w:pStyle w:val="Heading1"/>
      </w:pPr>
      <w:r>
        <w:t xml:space="preserve">3. Technology and Tools</w:t>
      </w:r>
    </w:p>
    <w:p>
      <w:pPr>
        <w:spacing w:after="160"/>
        <w:jc w:val="both"/>
      </w:pPr>
      <w:r>
        <w:rPr>
          <w:b w:val="false"/>
          <w:bCs w:val="false"/>
          <w:i w:val="false"/>
          <w:iCs w:val="false"/>
        </w:rPr>
        <w:t xml:space="preserve">The project environment is Python 3.11 with a local virtual environment (.venv311); all GPU work (training and fine-tuning) runs under this environment specifically, after an early engineering failure in which scripts silently ran on a CPU-only global Python install (documented as Failure F7 in Section 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600"/>
        <w:gridCol w:w="3860"/>
      </w:tblGrid>
      <w:tr>
        <w:trPr>
          <w:tblHeader/>
        </w:trPr>
        <w:tc>
          <w:tcPr>
            <w:tcW w:type="dxa" w:w="1900"/>
            <w:tcBorders>
              <w:top w:val="single" w:color="B0B7C3" w:sz="1"/>
              <w:left w:val="single" w:color="B0B7C3" w:sz="1"/>
              <w:bottom w:val="single" w:color="B0B7C3" w:sz="1"/>
              <w:right w:val="single" w:color="B0B7C3" w:sz="1"/>
            </w:tcBorders>
            <w:shd w:fill="1F2937" w:val="clear"/>
            <w:tcMar>
              <w:top w:type="dxa" w:w="80"/>
              <w:left w:type="dxa" w:w="120"/>
              <w:bottom w:type="dxa" w:w="80"/>
              <w:right w:type="dxa" w:w="120"/>
            </w:tcMar>
            <w:vAlign w:val="center"/>
          </w:tcPr>
          <w:p>
            <w:r>
              <w:rPr>
                <w:b/>
                <w:bCs/>
                <w:color w:val="FFFFFF"/>
                <w:sz w:val="19"/>
                <w:szCs w:val="19"/>
              </w:rPr>
              <w:t xml:space="preserve">Category</w:t>
            </w:r>
          </w:p>
        </w:tc>
        <w:tc>
          <w:tcPr>
            <w:tcW w:type="dxa" w:w="3600"/>
            <w:tcBorders>
              <w:top w:val="single" w:color="B0B7C3" w:sz="1"/>
              <w:left w:val="single" w:color="B0B7C3" w:sz="1"/>
              <w:bottom w:val="single" w:color="B0B7C3" w:sz="1"/>
              <w:right w:val="single" w:color="B0B7C3" w:sz="1"/>
            </w:tcBorders>
            <w:shd w:fill="1F2937" w:val="clear"/>
            <w:tcMar>
              <w:top w:type="dxa" w:w="80"/>
              <w:left w:type="dxa" w:w="120"/>
              <w:bottom w:type="dxa" w:w="80"/>
              <w:right w:type="dxa" w:w="120"/>
            </w:tcMar>
            <w:vAlign w:val="center"/>
          </w:tcPr>
          <w:p>
            <w:r>
              <w:rPr>
                <w:b/>
                <w:bCs/>
                <w:color w:val="FFFFFF"/>
                <w:sz w:val="19"/>
                <w:szCs w:val="19"/>
              </w:rPr>
              <w:t xml:space="preserve">Tool / Library</w:t>
            </w:r>
          </w:p>
        </w:tc>
        <w:tc>
          <w:tcPr>
            <w:tcW w:type="dxa" w:w="3860"/>
            <w:tcBorders>
              <w:top w:val="single" w:color="B0B7C3" w:sz="1"/>
              <w:left w:val="single" w:color="B0B7C3" w:sz="1"/>
              <w:bottom w:val="single" w:color="B0B7C3" w:sz="1"/>
              <w:right w:val="single" w:color="B0B7C3" w:sz="1"/>
            </w:tcBorders>
            <w:shd w:fill="1F2937" w:val="clear"/>
            <w:tcMar>
              <w:top w:type="dxa" w:w="80"/>
              <w:left w:type="dxa" w:w="120"/>
              <w:bottom w:type="dxa" w:w="80"/>
              <w:right w:type="dxa" w:w="120"/>
            </w:tcMar>
            <w:vAlign w:val="center"/>
          </w:tcPr>
          <w:p>
            <w:r>
              <w:rPr>
                <w:b/>
                <w:bCs/>
                <w:color w:val="FFFFFF"/>
                <w:sz w:val="19"/>
                <w:szCs w:val="19"/>
              </w:rPr>
              <w:t xml:space="preserve">Role in WasteWise</w:t>
            </w:r>
          </w:p>
        </w:tc>
      </w:tr>
      <w:tr>
        <w:tc>
          <w:tcPr>
            <w:tcW w:type="dxa" w:w="1900"/>
            <w:tcBorders>
              <w:top w:val="single" w:color="B0B7C3" w:sz="1"/>
              <w:left w:val="single" w:color="B0B7C3" w:sz="1"/>
              <w:bottom w:val="single" w:color="B0B7C3" w:sz="1"/>
              <w:right w:val="single" w:color="B0B7C3" w:sz="1"/>
            </w:tcBorders>
            <w:shd w:fill="F8FAFC" w:val="clear"/>
            <w:tcMar>
              <w:top w:type="dxa" w:w="60"/>
              <w:left w:type="dxa" w:w="120"/>
              <w:bottom w:type="dxa" w:w="60"/>
              <w:right w:type="dxa" w:w="120"/>
            </w:tcMar>
            <w:vAlign w:val="center"/>
          </w:tcPr>
          <w:p>
            <w:r>
              <w:rPr>
                <w:b w:val="false"/>
                <w:bCs w:val="false"/>
                <w:sz w:val="19"/>
                <w:szCs w:val="19"/>
              </w:rPr>
              <w:t xml:space="preserve">Detection</w:t>
            </w:r>
          </w:p>
        </w:tc>
        <w:tc>
          <w:tcPr>
            <w:tcW w:type="dxa" w:w="3600"/>
            <w:tcBorders>
              <w:top w:val="single" w:color="B0B7C3" w:sz="1"/>
              <w:left w:val="single" w:color="B0B7C3" w:sz="1"/>
              <w:bottom w:val="single" w:color="B0B7C3" w:sz="1"/>
              <w:right w:val="single" w:color="B0B7C3" w:sz="1"/>
            </w:tcBorders>
            <w:shd w:fill="F8FAFC" w:val="clear"/>
            <w:tcMar>
              <w:top w:type="dxa" w:w="60"/>
              <w:left w:type="dxa" w:w="120"/>
              <w:bottom w:type="dxa" w:w="60"/>
              <w:right w:type="dxa" w:w="120"/>
            </w:tcMar>
            <w:vAlign w:val="center"/>
          </w:tcPr>
          <w:p>
            <w:r>
              <w:rPr>
                <w:b w:val="false"/>
                <w:bCs w:val="false"/>
                <w:sz w:val="19"/>
                <w:szCs w:val="19"/>
              </w:rPr>
              <w:t xml:space="preserve">Ultralytics YOLOv8 / YOLOv11 / YOLO26n</w:t>
            </w:r>
          </w:p>
        </w:tc>
        <w:tc>
          <w:tcPr>
            <w:tcW w:type="dxa" w:w="3860"/>
            <w:tcBorders>
              <w:top w:val="single" w:color="B0B7C3" w:sz="1"/>
              <w:left w:val="single" w:color="B0B7C3" w:sz="1"/>
              <w:bottom w:val="single" w:color="B0B7C3" w:sz="1"/>
              <w:right w:val="single" w:color="B0B7C3" w:sz="1"/>
            </w:tcBorders>
            <w:shd w:fill="F8FAFC" w:val="clear"/>
            <w:tcMar>
              <w:top w:type="dxa" w:w="60"/>
              <w:left w:type="dxa" w:w="120"/>
              <w:bottom w:type="dxa" w:w="60"/>
              <w:right w:type="dxa" w:w="120"/>
            </w:tcMar>
            <w:vAlign w:val="center"/>
          </w:tcPr>
          <w:p>
            <w:r>
              <w:rPr>
                <w:b w:val="false"/>
                <w:bCs w:val="false"/>
                <w:sz w:val="19"/>
                <w:szCs w:val="19"/>
              </w:rPr>
              <w:t xml:space="preserve">Stage 1 object localisation; architecture benchmark across versions.</w:t>
            </w:r>
          </w:p>
        </w:tc>
      </w:tr>
      <w:tr>
        <w:tc>
          <w:tcPr>
            <w:tcW w:type="dxa" w:w="1900"/>
            <w:tcBorders>
              <w:top w:val="single" w:color="B0B7C3" w:sz="1"/>
              <w:left w:val="single" w:color="B0B7C3" w:sz="1"/>
              <w:bottom w:val="single" w:color="B0B7C3" w:sz="1"/>
              <w:right w:val="single" w:color="B0B7C3" w:sz="1"/>
            </w:tcBorders>
            <w:shd w:fill="FFFFFF" w:val="clear"/>
            <w:tcMar>
              <w:top w:type="dxa" w:w="60"/>
              <w:left w:type="dxa" w:w="120"/>
              <w:bottom w:type="dxa" w:w="60"/>
              <w:right w:type="dxa" w:w="120"/>
            </w:tcMar>
            <w:vAlign w:val="center"/>
          </w:tcPr>
          <w:p>
            <w:r>
              <w:rPr>
                <w:b w:val="false"/>
                <w:bCs w:val="false"/>
                <w:sz w:val="19"/>
                <w:szCs w:val="19"/>
              </w:rPr>
              <w:t xml:space="preserve">Classification</w:t>
            </w:r>
          </w:p>
        </w:tc>
        <w:tc>
          <w:tcPr>
            <w:tcW w:type="dxa" w:w="3600"/>
            <w:tcBorders>
              <w:top w:val="single" w:color="B0B7C3" w:sz="1"/>
              <w:left w:val="single" w:color="B0B7C3" w:sz="1"/>
              <w:bottom w:val="single" w:color="B0B7C3" w:sz="1"/>
              <w:right w:val="single" w:color="B0B7C3" w:sz="1"/>
            </w:tcBorders>
            <w:shd w:fill="FFFFFF" w:val="clear"/>
            <w:tcMar>
              <w:top w:type="dxa" w:w="60"/>
              <w:left w:type="dxa" w:w="120"/>
              <w:bottom w:type="dxa" w:w="60"/>
              <w:right w:type="dxa" w:w="120"/>
            </w:tcMar>
            <w:vAlign w:val="center"/>
          </w:tcPr>
          <w:p>
            <w:r>
              <w:rPr>
                <w:b w:val="false"/>
                <w:bCs w:val="false"/>
                <w:sz w:val="19"/>
                <w:szCs w:val="19"/>
              </w:rPr>
              <w:t xml:space="preserve">PyTorch, torchvision (ConvNeXt-Tiny, ConvNeXtV2, EfficientNetB0, MobileNetV2, ResNet50)</w:t>
            </w:r>
          </w:p>
        </w:tc>
        <w:tc>
          <w:tcPr>
            <w:tcW w:type="dxa" w:w="3860"/>
            <w:tcBorders>
              <w:top w:val="single" w:color="B0B7C3" w:sz="1"/>
              <w:left w:val="single" w:color="B0B7C3" w:sz="1"/>
              <w:bottom w:val="single" w:color="B0B7C3" w:sz="1"/>
              <w:right w:val="single" w:color="B0B7C3" w:sz="1"/>
            </w:tcBorders>
            <w:shd w:fill="FFFFFF" w:val="clear"/>
            <w:tcMar>
              <w:top w:type="dxa" w:w="60"/>
              <w:left w:type="dxa" w:w="120"/>
              <w:bottom w:type="dxa" w:w="60"/>
              <w:right w:type="dxa" w:w="120"/>
            </w:tcMar>
            <w:vAlign w:val="center"/>
          </w:tcPr>
          <w:p>
            <w:r>
              <w:rPr>
                <w:b w:val="false"/>
                <w:bCs w:val="false"/>
                <w:sz w:val="19"/>
                <w:szCs w:val="19"/>
              </w:rPr>
              <w:t xml:space="preserve">Stage 2 crop classification and architecture comparison.</w:t>
            </w:r>
          </w:p>
        </w:tc>
      </w:tr>
      <w:tr>
        <w:tc>
          <w:tcPr>
            <w:tcW w:type="dxa" w:w="1900"/>
            <w:tcBorders>
              <w:top w:val="single" w:color="B0B7C3" w:sz="1"/>
              <w:left w:val="single" w:color="B0B7C3" w:sz="1"/>
              <w:bottom w:val="single" w:color="B0B7C3" w:sz="1"/>
              <w:right w:val="single" w:color="B0B7C3" w:sz="1"/>
            </w:tcBorders>
            <w:shd w:fill="F8FAFC" w:val="clear"/>
            <w:tcMar>
              <w:top w:type="dxa" w:w="60"/>
              <w:left w:type="dxa" w:w="120"/>
              <w:bottom w:type="dxa" w:w="60"/>
              <w:right w:type="dxa" w:w="120"/>
            </w:tcMar>
            <w:vAlign w:val="center"/>
          </w:tcPr>
          <w:p>
            <w:r>
              <w:rPr>
                <w:b w:val="false"/>
                <w:bCs w:val="false"/>
                <w:sz w:val="19"/>
                <w:szCs w:val="19"/>
              </w:rPr>
              <w:t xml:space="preserve">Classical ML</w:t>
            </w:r>
          </w:p>
        </w:tc>
        <w:tc>
          <w:tcPr>
            <w:tcW w:type="dxa" w:w="3600"/>
            <w:tcBorders>
              <w:top w:val="single" w:color="B0B7C3" w:sz="1"/>
              <w:left w:val="single" w:color="B0B7C3" w:sz="1"/>
              <w:bottom w:val="single" w:color="B0B7C3" w:sz="1"/>
              <w:right w:val="single" w:color="B0B7C3" w:sz="1"/>
            </w:tcBorders>
            <w:shd w:fill="F8FAFC" w:val="clear"/>
            <w:tcMar>
              <w:top w:type="dxa" w:w="60"/>
              <w:left w:type="dxa" w:w="120"/>
              <w:bottom w:type="dxa" w:w="60"/>
              <w:right w:type="dxa" w:w="120"/>
            </w:tcMar>
            <w:vAlign w:val="center"/>
          </w:tcPr>
          <w:p>
            <w:r>
              <w:rPr>
                <w:b w:val="false"/>
                <w:bCs w:val="false"/>
                <w:sz w:val="19"/>
                <w:szCs w:val="19"/>
              </w:rPr>
              <w:t xml:space="preserve">scikit-learn (Decision Tree, Logistic Regression, Linear SVM, Random Forest, ExtraTrees), XGBoost</w:t>
            </w:r>
          </w:p>
        </w:tc>
        <w:tc>
          <w:tcPr>
            <w:tcW w:type="dxa" w:w="3860"/>
            <w:tcBorders>
              <w:top w:val="single" w:color="B0B7C3" w:sz="1"/>
              <w:left w:val="single" w:color="B0B7C3" w:sz="1"/>
              <w:bottom w:val="single" w:color="B0B7C3" w:sz="1"/>
              <w:right w:val="single" w:color="B0B7C3" w:sz="1"/>
            </w:tcBorders>
            <w:shd w:fill="F8FAFC" w:val="clear"/>
            <w:tcMar>
              <w:top w:type="dxa" w:w="60"/>
              <w:left w:type="dxa" w:w="120"/>
              <w:bottom w:type="dxa" w:w="60"/>
              <w:right w:type="dxa" w:w="120"/>
            </w:tcMar>
            <w:vAlign w:val="center"/>
          </w:tcPr>
          <w:p>
            <w:r>
              <w:rPr>
                <w:b w:val="false"/>
                <w:bCs w:val="false"/>
                <w:sz w:val="19"/>
                <w:szCs w:val="19"/>
              </w:rPr>
              <w:t xml:space="preserve">Branch A classical model sweep on handcrafted features.</w:t>
            </w:r>
          </w:p>
        </w:tc>
      </w:tr>
      <w:tr>
        <w:tc>
          <w:tcPr>
            <w:tcW w:type="dxa" w:w="1900"/>
            <w:tcBorders>
              <w:top w:val="single" w:color="B0B7C3" w:sz="1"/>
              <w:left w:val="single" w:color="B0B7C3" w:sz="1"/>
              <w:bottom w:val="single" w:color="B0B7C3" w:sz="1"/>
              <w:right w:val="single" w:color="B0B7C3" w:sz="1"/>
            </w:tcBorders>
            <w:shd w:fill="FFFFFF" w:val="clear"/>
            <w:tcMar>
              <w:top w:type="dxa" w:w="60"/>
              <w:left w:type="dxa" w:w="120"/>
              <w:bottom w:type="dxa" w:w="60"/>
              <w:right w:type="dxa" w:w="120"/>
            </w:tcMar>
            <w:vAlign w:val="center"/>
          </w:tcPr>
          <w:p>
            <w:r>
              <w:rPr>
                <w:b w:val="false"/>
                <w:bCs w:val="false"/>
                <w:sz w:val="19"/>
                <w:szCs w:val="19"/>
              </w:rPr>
              <w:t xml:space="preserve">Feature engineering</w:t>
            </w:r>
          </w:p>
        </w:tc>
        <w:tc>
          <w:tcPr>
            <w:tcW w:type="dxa" w:w="3600"/>
            <w:tcBorders>
              <w:top w:val="single" w:color="B0B7C3" w:sz="1"/>
              <w:left w:val="single" w:color="B0B7C3" w:sz="1"/>
              <w:bottom w:val="single" w:color="B0B7C3" w:sz="1"/>
              <w:right w:val="single" w:color="B0B7C3" w:sz="1"/>
            </w:tcBorders>
            <w:shd w:fill="FFFFFF" w:val="clear"/>
            <w:tcMar>
              <w:top w:type="dxa" w:w="60"/>
              <w:left w:type="dxa" w:w="120"/>
              <w:bottom w:type="dxa" w:w="60"/>
              <w:right w:type="dxa" w:w="120"/>
            </w:tcMar>
            <w:vAlign w:val="center"/>
          </w:tcPr>
          <w:p>
            <w:r>
              <w:rPr>
                <w:b w:val="false"/>
                <w:bCs w:val="false"/>
                <w:sz w:val="19"/>
                <w:szCs w:val="19"/>
              </w:rPr>
              <w:t xml:space="preserve">NumPy, OpenCV, scikit-image</w:t>
            </w:r>
          </w:p>
        </w:tc>
        <w:tc>
          <w:tcPr>
            <w:tcW w:type="dxa" w:w="3860"/>
            <w:tcBorders>
              <w:top w:val="single" w:color="B0B7C3" w:sz="1"/>
              <w:left w:val="single" w:color="B0B7C3" w:sz="1"/>
              <w:bottom w:val="single" w:color="B0B7C3" w:sz="1"/>
              <w:right w:val="single" w:color="B0B7C3" w:sz="1"/>
            </w:tcBorders>
            <w:shd w:fill="FFFFFF" w:val="clear"/>
            <w:tcMar>
              <w:top w:type="dxa" w:w="60"/>
              <w:left w:type="dxa" w:w="120"/>
              <w:bottom w:type="dxa" w:w="60"/>
              <w:right w:type="dxa" w:w="120"/>
            </w:tcMar>
            <w:vAlign w:val="center"/>
          </w:tcPr>
          <w:p>
            <w:r>
              <w:rPr>
                <w:b w:val="false"/>
                <w:bCs w:val="false"/>
                <w:sz w:val="19"/>
                <w:szCs w:val="19"/>
              </w:rPr>
              <w:t xml:space="preserve">637-D handcrafted feature extraction (spatial, FFT, colour, HOG).</w:t>
            </w:r>
          </w:p>
        </w:tc>
      </w:tr>
      <w:tr>
        <w:tc>
          <w:tcPr>
            <w:tcW w:type="dxa" w:w="1900"/>
            <w:tcBorders>
              <w:top w:val="single" w:color="B0B7C3" w:sz="1"/>
              <w:left w:val="single" w:color="B0B7C3" w:sz="1"/>
              <w:bottom w:val="single" w:color="B0B7C3" w:sz="1"/>
              <w:right w:val="single" w:color="B0B7C3" w:sz="1"/>
            </w:tcBorders>
            <w:shd w:fill="F8FAFC" w:val="clear"/>
            <w:tcMar>
              <w:top w:type="dxa" w:w="60"/>
              <w:left w:type="dxa" w:w="120"/>
              <w:bottom w:type="dxa" w:w="60"/>
              <w:right w:type="dxa" w:w="120"/>
            </w:tcMar>
            <w:vAlign w:val="center"/>
          </w:tcPr>
          <w:p>
            <w:r>
              <w:rPr>
                <w:b w:val="false"/>
                <w:bCs w:val="false"/>
                <w:sz w:val="19"/>
                <w:szCs w:val="19"/>
              </w:rPr>
              <w:t xml:space="preserve">Dataset auditing</w:t>
            </w:r>
          </w:p>
        </w:tc>
        <w:tc>
          <w:tcPr>
            <w:tcW w:type="dxa" w:w="3600"/>
            <w:tcBorders>
              <w:top w:val="single" w:color="B0B7C3" w:sz="1"/>
              <w:left w:val="single" w:color="B0B7C3" w:sz="1"/>
              <w:bottom w:val="single" w:color="B0B7C3" w:sz="1"/>
              <w:right w:val="single" w:color="B0B7C3" w:sz="1"/>
            </w:tcBorders>
            <w:shd w:fill="F8FAFC" w:val="clear"/>
            <w:tcMar>
              <w:top w:type="dxa" w:w="60"/>
              <w:left w:type="dxa" w:w="120"/>
              <w:bottom w:type="dxa" w:w="60"/>
              <w:right w:type="dxa" w:w="120"/>
            </w:tcMar>
            <w:vAlign w:val="center"/>
          </w:tcPr>
          <w:p>
            <w:r>
              <w:rPr>
                <w:b w:val="false"/>
                <w:bCs w:val="false"/>
                <w:sz w:val="19"/>
                <w:szCs w:val="19"/>
              </w:rPr>
              <w:t xml:space="preserve">Custom perceptual-hash (dHash) + MD5 auditing scripts</w:t>
            </w:r>
          </w:p>
        </w:tc>
        <w:tc>
          <w:tcPr>
            <w:tcW w:type="dxa" w:w="3860"/>
            <w:tcBorders>
              <w:top w:val="single" w:color="B0B7C3" w:sz="1"/>
              <w:left w:val="single" w:color="B0B7C3" w:sz="1"/>
              <w:bottom w:val="single" w:color="B0B7C3" w:sz="1"/>
              <w:right w:val="single" w:color="B0B7C3" w:sz="1"/>
            </w:tcBorders>
            <w:shd w:fill="F8FAFC" w:val="clear"/>
            <w:tcMar>
              <w:top w:type="dxa" w:w="60"/>
              <w:left w:type="dxa" w:w="120"/>
              <w:bottom w:type="dxa" w:w="60"/>
              <w:right w:type="dxa" w:w="120"/>
            </w:tcMar>
            <w:vAlign w:val="center"/>
          </w:tcPr>
          <w:p>
            <w:r>
              <w:rPr>
                <w:b w:val="false"/>
                <w:bCs w:val="false"/>
                <w:sz w:val="19"/>
                <w:szCs w:val="19"/>
              </w:rPr>
              <w:t xml:space="preserve">Cross-split leakage, bias, and label-noise auditing (scripts/audit_model_risks.py).</w:t>
            </w:r>
          </w:p>
        </w:tc>
      </w:tr>
      <w:tr>
        <w:tc>
          <w:tcPr>
            <w:tcW w:type="dxa" w:w="1900"/>
            <w:tcBorders>
              <w:top w:val="single" w:color="B0B7C3" w:sz="1"/>
              <w:left w:val="single" w:color="B0B7C3" w:sz="1"/>
              <w:bottom w:val="single" w:color="B0B7C3" w:sz="1"/>
              <w:right w:val="single" w:color="B0B7C3" w:sz="1"/>
            </w:tcBorders>
            <w:shd w:fill="FFFFFF" w:val="clear"/>
            <w:tcMar>
              <w:top w:type="dxa" w:w="60"/>
              <w:left w:type="dxa" w:w="120"/>
              <w:bottom w:type="dxa" w:w="60"/>
              <w:right w:type="dxa" w:w="120"/>
            </w:tcMar>
            <w:vAlign w:val="center"/>
          </w:tcPr>
          <w:p>
            <w:r>
              <w:rPr>
                <w:b w:val="false"/>
                <w:bCs w:val="false"/>
                <w:sz w:val="19"/>
                <w:szCs w:val="19"/>
              </w:rPr>
              <w:t xml:space="preserve">Explainability</w:t>
            </w:r>
          </w:p>
        </w:tc>
        <w:tc>
          <w:tcPr>
            <w:tcW w:type="dxa" w:w="3600"/>
            <w:tcBorders>
              <w:top w:val="single" w:color="B0B7C3" w:sz="1"/>
              <w:left w:val="single" w:color="B0B7C3" w:sz="1"/>
              <w:bottom w:val="single" w:color="B0B7C3" w:sz="1"/>
              <w:right w:val="single" w:color="B0B7C3" w:sz="1"/>
            </w:tcBorders>
            <w:shd w:fill="FFFFFF" w:val="clear"/>
            <w:tcMar>
              <w:top w:type="dxa" w:w="60"/>
              <w:left w:type="dxa" w:w="120"/>
              <w:bottom w:type="dxa" w:w="60"/>
              <w:right w:type="dxa" w:w="120"/>
            </w:tcMar>
            <w:vAlign w:val="center"/>
          </w:tcPr>
          <w:p>
            <w:r>
              <w:rPr>
                <w:b w:val="false"/>
                <w:bCs w:val="false"/>
                <w:sz w:val="19"/>
                <w:szCs w:val="19"/>
              </w:rPr>
              <w:t xml:space="preserve">Grad-CAM</w:t>
            </w:r>
          </w:p>
        </w:tc>
        <w:tc>
          <w:tcPr>
            <w:tcW w:type="dxa" w:w="3860"/>
            <w:tcBorders>
              <w:top w:val="single" w:color="B0B7C3" w:sz="1"/>
              <w:left w:val="single" w:color="B0B7C3" w:sz="1"/>
              <w:bottom w:val="single" w:color="B0B7C3" w:sz="1"/>
              <w:right w:val="single" w:color="B0B7C3" w:sz="1"/>
            </w:tcBorders>
            <w:shd w:fill="FFFFFF" w:val="clear"/>
            <w:tcMar>
              <w:top w:type="dxa" w:w="60"/>
              <w:left w:type="dxa" w:w="120"/>
              <w:bottom w:type="dxa" w:w="60"/>
              <w:right w:type="dxa" w:w="120"/>
            </w:tcMar>
            <w:vAlign w:val="center"/>
          </w:tcPr>
          <w:p>
            <w:r>
              <w:rPr>
                <w:b w:val="false"/>
                <w:bCs w:val="false"/>
                <w:sz w:val="19"/>
                <w:szCs w:val="19"/>
              </w:rPr>
              <w:t xml:space="preserve">Alternative classification-first localisation baseline; feature-importance plots.</w:t>
            </w:r>
          </w:p>
        </w:tc>
      </w:tr>
      <w:tr>
        <w:tc>
          <w:tcPr>
            <w:tcW w:type="dxa" w:w="1900"/>
            <w:tcBorders>
              <w:top w:val="single" w:color="B0B7C3" w:sz="1"/>
              <w:left w:val="single" w:color="B0B7C3" w:sz="1"/>
              <w:bottom w:val="single" w:color="B0B7C3" w:sz="1"/>
              <w:right w:val="single" w:color="B0B7C3" w:sz="1"/>
            </w:tcBorders>
            <w:shd w:fill="F8FAFC" w:val="clear"/>
            <w:tcMar>
              <w:top w:type="dxa" w:w="60"/>
              <w:left w:type="dxa" w:w="120"/>
              <w:bottom w:type="dxa" w:w="60"/>
              <w:right w:type="dxa" w:w="120"/>
            </w:tcMar>
            <w:vAlign w:val="center"/>
          </w:tcPr>
          <w:p>
            <w:r>
              <w:rPr>
                <w:b w:val="false"/>
                <w:bCs w:val="false"/>
                <w:sz w:val="19"/>
                <w:szCs w:val="19"/>
              </w:rPr>
              <w:t xml:space="preserve">Small-object inference</w:t>
            </w:r>
          </w:p>
        </w:tc>
        <w:tc>
          <w:tcPr>
            <w:tcW w:type="dxa" w:w="3600"/>
            <w:tcBorders>
              <w:top w:val="single" w:color="B0B7C3" w:sz="1"/>
              <w:left w:val="single" w:color="B0B7C3" w:sz="1"/>
              <w:bottom w:val="single" w:color="B0B7C3" w:sz="1"/>
              <w:right w:val="single" w:color="B0B7C3" w:sz="1"/>
            </w:tcBorders>
            <w:shd w:fill="F8FAFC" w:val="clear"/>
            <w:tcMar>
              <w:top w:type="dxa" w:w="60"/>
              <w:left w:type="dxa" w:w="120"/>
              <w:bottom w:type="dxa" w:w="60"/>
              <w:right w:type="dxa" w:w="120"/>
            </w:tcMar>
            <w:vAlign w:val="center"/>
          </w:tcPr>
          <w:p>
            <w:r>
              <w:rPr>
                <w:b w:val="false"/>
                <w:bCs w:val="false"/>
                <w:sz w:val="19"/>
                <w:szCs w:val="19"/>
              </w:rPr>
              <w:t xml:space="preserve">SAHI (sliced inference)</w:t>
            </w:r>
          </w:p>
        </w:tc>
        <w:tc>
          <w:tcPr>
            <w:tcW w:type="dxa" w:w="3860"/>
            <w:tcBorders>
              <w:top w:val="single" w:color="B0B7C3" w:sz="1"/>
              <w:left w:val="single" w:color="B0B7C3" w:sz="1"/>
              <w:bottom w:val="single" w:color="B0B7C3" w:sz="1"/>
              <w:right w:val="single" w:color="B0B7C3" w:sz="1"/>
            </w:tcBorders>
            <w:shd w:fill="F8FAFC" w:val="clear"/>
            <w:tcMar>
              <w:top w:type="dxa" w:w="60"/>
              <w:left w:type="dxa" w:w="120"/>
              <w:bottom w:type="dxa" w:w="60"/>
              <w:right w:type="dxa" w:w="120"/>
            </w:tcMar>
            <w:vAlign w:val="center"/>
          </w:tcPr>
          <w:p>
            <w:r>
              <w:rPr>
                <w:b w:val="false"/>
                <w:bCs w:val="false"/>
                <w:sz w:val="19"/>
                <w:szCs w:val="19"/>
              </w:rPr>
              <w:t xml:space="preserve">Evaluated as a small-object recall fix (rejected after benchmarking).</w:t>
            </w:r>
          </w:p>
        </w:tc>
      </w:tr>
      <w:tr>
        <w:tc>
          <w:tcPr>
            <w:tcW w:type="dxa" w:w="1900"/>
            <w:tcBorders>
              <w:top w:val="single" w:color="B0B7C3" w:sz="1"/>
              <w:left w:val="single" w:color="B0B7C3" w:sz="1"/>
              <w:bottom w:val="single" w:color="B0B7C3" w:sz="1"/>
              <w:right w:val="single" w:color="B0B7C3" w:sz="1"/>
            </w:tcBorders>
            <w:shd w:fill="FFFFFF" w:val="clear"/>
            <w:tcMar>
              <w:top w:type="dxa" w:w="60"/>
              <w:left w:type="dxa" w:w="120"/>
              <w:bottom w:type="dxa" w:w="60"/>
              <w:right w:type="dxa" w:w="120"/>
            </w:tcMar>
            <w:vAlign w:val="center"/>
          </w:tcPr>
          <w:p>
            <w:r>
              <w:rPr>
                <w:b w:val="false"/>
                <w:bCs w:val="false"/>
                <w:sz w:val="19"/>
                <w:szCs w:val="19"/>
              </w:rPr>
              <w:t xml:space="preserve">Experiment tracking</w:t>
            </w:r>
          </w:p>
        </w:tc>
        <w:tc>
          <w:tcPr>
            <w:tcW w:type="dxa" w:w="3600"/>
            <w:tcBorders>
              <w:top w:val="single" w:color="B0B7C3" w:sz="1"/>
              <w:left w:val="single" w:color="B0B7C3" w:sz="1"/>
              <w:bottom w:val="single" w:color="B0B7C3" w:sz="1"/>
              <w:right w:val="single" w:color="B0B7C3" w:sz="1"/>
            </w:tcBorders>
            <w:shd w:fill="FFFFFF" w:val="clear"/>
            <w:tcMar>
              <w:top w:type="dxa" w:w="60"/>
              <w:left w:type="dxa" w:w="120"/>
              <w:bottom w:type="dxa" w:w="60"/>
              <w:right w:type="dxa" w:w="120"/>
            </w:tcMar>
            <w:vAlign w:val="center"/>
          </w:tcPr>
          <w:p>
            <w:r>
              <w:rPr>
                <w:b w:val="false"/>
                <w:bCs w:val="false"/>
                <w:sz w:val="19"/>
                <w:szCs w:val="19"/>
              </w:rPr>
              <w:t xml:space="preserve">Matplotlib, pandas, JSON/Markdown run reports</w:t>
            </w:r>
          </w:p>
        </w:tc>
        <w:tc>
          <w:tcPr>
            <w:tcW w:type="dxa" w:w="3860"/>
            <w:tcBorders>
              <w:top w:val="single" w:color="B0B7C3" w:sz="1"/>
              <w:left w:val="single" w:color="B0B7C3" w:sz="1"/>
              <w:bottom w:val="single" w:color="B0B7C3" w:sz="1"/>
              <w:right w:val="single" w:color="B0B7C3" w:sz="1"/>
            </w:tcBorders>
            <w:shd w:fill="FFFFFF" w:val="clear"/>
            <w:tcMar>
              <w:top w:type="dxa" w:w="60"/>
              <w:left w:type="dxa" w:w="120"/>
              <w:bottom w:type="dxa" w:w="60"/>
              <w:right w:type="dxa" w:w="120"/>
            </w:tcMar>
            <w:vAlign w:val="center"/>
          </w:tcPr>
          <w:p>
            <w:r>
              <w:rPr>
                <w:b w:val="false"/>
                <w:bCs w:val="false"/>
                <w:sz w:val="19"/>
                <w:szCs w:val="19"/>
              </w:rPr>
              <w:t xml:space="preserve">Charts, confusion matrices, and per-run REPORT.md artefacts under runs/.</w:t>
            </w:r>
          </w:p>
        </w:tc>
      </w:tr>
      <w:tr>
        <w:tc>
          <w:tcPr>
            <w:tcW w:type="dxa" w:w="1900"/>
            <w:tcBorders>
              <w:top w:val="single" w:color="B0B7C3" w:sz="1"/>
              <w:left w:val="single" w:color="B0B7C3" w:sz="1"/>
              <w:bottom w:val="single" w:color="B0B7C3" w:sz="1"/>
              <w:right w:val="single" w:color="B0B7C3" w:sz="1"/>
            </w:tcBorders>
            <w:shd w:fill="F8FAFC" w:val="clear"/>
            <w:tcMar>
              <w:top w:type="dxa" w:w="60"/>
              <w:left w:type="dxa" w:w="120"/>
              <w:bottom w:type="dxa" w:w="60"/>
              <w:right w:type="dxa" w:w="120"/>
            </w:tcMar>
            <w:vAlign w:val="center"/>
          </w:tcPr>
          <w:p>
            <w:r>
              <w:rPr>
                <w:b w:val="false"/>
                <w:bCs w:val="false"/>
                <w:sz w:val="19"/>
                <w:szCs w:val="19"/>
              </w:rPr>
              <w:t xml:space="preserve">Deployment</w:t>
            </w:r>
          </w:p>
        </w:tc>
        <w:tc>
          <w:tcPr>
            <w:tcW w:type="dxa" w:w="3600"/>
            <w:tcBorders>
              <w:top w:val="single" w:color="B0B7C3" w:sz="1"/>
              <w:left w:val="single" w:color="B0B7C3" w:sz="1"/>
              <w:bottom w:val="single" w:color="B0B7C3" w:sz="1"/>
              <w:right w:val="single" w:color="B0B7C3" w:sz="1"/>
            </w:tcBorders>
            <w:shd w:fill="F8FAFC" w:val="clear"/>
            <w:tcMar>
              <w:top w:type="dxa" w:w="60"/>
              <w:left w:type="dxa" w:w="120"/>
              <w:bottom w:type="dxa" w:w="60"/>
              <w:right w:type="dxa" w:w="120"/>
            </w:tcMar>
            <w:vAlign w:val="center"/>
          </w:tcPr>
          <w:p>
            <w:r>
              <w:rPr>
                <w:b w:val="false"/>
                <w:bCs w:val="false"/>
                <w:sz w:val="19"/>
                <w:szCs w:val="19"/>
              </w:rPr>
              <w:t xml:space="preserve">Flask, Docker, Hugging Face Spaces</w:t>
            </w:r>
          </w:p>
        </w:tc>
        <w:tc>
          <w:tcPr>
            <w:tcW w:type="dxa" w:w="3860"/>
            <w:tcBorders>
              <w:top w:val="single" w:color="B0B7C3" w:sz="1"/>
              <w:left w:val="single" w:color="B0B7C3" w:sz="1"/>
              <w:bottom w:val="single" w:color="B0B7C3" w:sz="1"/>
              <w:right w:val="single" w:color="B0B7C3" w:sz="1"/>
            </w:tcBorders>
            <w:shd w:fill="F8FAFC" w:val="clear"/>
            <w:tcMar>
              <w:top w:type="dxa" w:w="60"/>
              <w:left w:type="dxa" w:w="120"/>
              <w:bottom w:type="dxa" w:w="60"/>
              <w:right w:type="dxa" w:w="120"/>
            </w:tcMar>
            <w:vAlign w:val="center"/>
          </w:tcPr>
          <w:p>
            <w:r>
              <w:rPr>
                <w:b w:val="false"/>
                <w:bCs w:val="false"/>
                <w:sz w:val="19"/>
                <w:szCs w:val="19"/>
              </w:rPr>
              <w:t xml:space="preserve">Web application and Python model API, containerised for hosting.</w:t>
            </w:r>
          </w:p>
        </w:tc>
      </w:tr>
      <w:tr>
        <w:tc>
          <w:tcPr>
            <w:tcW w:type="dxa" w:w="1900"/>
            <w:tcBorders>
              <w:top w:val="single" w:color="B0B7C3" w:sz="1"/>
              <w:left w:val="single" w:color="B0B7C3" w:sz="1"/>
              <w:bottom w:val="single" w:color="B0B7C3" w:sz="1"/>
              <w:right w:val="single" w:color="B0B7C3" w:sz="1"/>
            </w:tcBorders>
            <w:shd w:fill="FFFFFF" w:val="clear"/>
            <w:tcMar>
              <w:top w:type="dxa" w:w="60"/>
              <w:left w:type="dxa" w:w="120"/>
              <w:bottom w:type="dxa" w:w="60"/>
              <w:right w:type="dxa" w:w="120"/>
            </w:tcMar>
            <w:vAlign w:val="center"/>
          </w:tcPr>
          <w:p>
            <w:r>
              <w:rPr>
                <w:b w:val="false"/>
                <w:bCs w:val="false"/>
                <w:sz w:val="19"/>
                <w:szCs w:val="19"/>
              </w:rPr>
              <w:t xml:space="preserve">Frontend</w:t>
            </w:r>
          </w:p>
        </w:tc>
        <w:tc>
          <w:tcPr>
            <w:tcW w:type="dxa" w:w="3600"/>
            <w:tcBorders>
              <w:top w:val="single" w:color="B0B7C3" w:sz="1"/>
              <w:left w:val="single" w:color="B0B7C3" w:sz="1"/>
              <w:bottom w:val="single" w:color="B0B7C3" w:sz="1"/>
              <w:right w:val="single" w:color="B0B7C3" w:sz="1"/>
            </w:tcBorders>
            <w:shd w:fill="FFFFFF" w:val="clear"/>
            <w:tcMar>
              <w:top w:type="dxa" w:w="60"/>
              <w:left w:type="dxa" w:w="120"/>
              <w:bottom w:type="dxa" w:w="60"/>
              <w:right w:type="dxa" w:w="120"/>
            </w:tcMar>
            <w:vAlign w:val="center"/>
          </w:tcPr>
          <w:p>
            <w:r>
              <w:rPr>
                <w:b w:val="false"/>
                <w:bCs w:val="false"/>
                <w:sz w:val="19"/>
                <w:szCs w:val="19"/>
              </w:rPr>
              <w:t xml:space="preserve">HTML/CSS/JavaScript (vanilla, responsive)</w:t>
            </w:r>
          </w:p>
        </w:tc>
        <w:tc>
          <w:tcPr>
            <w:tcW w:type="dxa" w:w="3860"/>
            <w:tcBorders>
              <w:top w:val="single" w:color="B0B7C3" w:sz="1"/>
              <w:left w:val="single" w:color="B0B7C3" w:sz="1"/>
              <w:bottom w:val="single" w:color="B0B7C3" w:sz="1"/>
              <w:right w:val="single" w:color="B0B7C3" w:sz="1"/>
            </w:tcBorders>
            <w:shd w:fill="FFFFFF" w:val="clear"/>
            <w:tcMar>
              <w:top w:type="dxa" w:w="60"/>
              <w:left w:type="dxa" w:w="120"/>
              <w:bottom w:type="dxa" w:w="60"/>
              <w:right w:type="dxa" w:w="120"/>
            </w:tcMar>
            <w:vAlign w:val="center"/>
          </w:tcPr>
          <w:p>
            <w:r>
              <w:rPr>
                <w:b w:val="false"/>
                <w:bCs w:val="false"/>
                <w:sz w:val="19"/>
                <w:szCs w:val="19"/>
              </w:rPr>
              <w:t xml:space="preserve">Six-page web app: Scan, How it works, Evidence, History, Limits, About.</w:t>
            </w:r>
          </w:p>
        </w:tc>
      </w:tr>
      <w:tr>
        <w:tc>
          <w:tcPr>
            <w:tcW w:type="dxa" w:w="1900"/>
            <w:tcBorders>
              <w:top w:val="single" w:color="B0B7C3" w:sz="1"/>
              <w:left w:val="single" w:color="B0B7C3" w:sz="1"/>
              <w:bottom w:val="single" w:color="B0B7C3" w:sz="1"/>
              <w:right w:val="single" w:color="B0B7C3" w:sz="1"/>
            </w:tcBorders>
            <w:shd w:fill="F8FAFC" w:val="clear"/>
            <w:tcMar>
              <w:top w:type="dxa" w:w="60"/>
              <w:left w:type="dxa" w:w="120"/>
              <w:bottom w:type="dxa" w:w="60"/>
              <w:right w:type="dxa" w:w="120"/>
            </w:tcMar>
            <w:vAlign w:val="center"/>
          </w:tcPr>
          <w:p>
            <w:r>
              <w:rPr>
                <w:b w:val="false"/>
                <w:bCs w:val="false"/>
                <w:sz w:val="19"/>
                <w:szCs w:val="19"/>
              </w:rPr>
              <w:t xml:space="preserve">Version control</w:t>
            </w:r>
          </w:p>
        </w:tc>
        <w:tc>
          <w:tcPr>
            <w:tcW w:type="dxa" w:w="3600"/>
            <w:tcBorders>
              <w:top w:val="single" w:color="B0B7C3" w:sz="1"/>
              <w:left w:val="single" w:color="B0B7C3" w:sz="1"/>
              <w:bottom w:val="single" w:color="B0B7C3" w:sz="1"/>
              <w:right w:val="single" w:color="B0B7C3" w:sz="1"/>
            </w:tcBorders>
            <w:shd w:fill="F8FAFC" w:val="clear"/>
            <w:tcMar>
              <w:top w:type="dxa" w:w="60"/>
              <w:left w:type="dxa" w:w="120"/>
              <w:bottom w:type="dxa" w:w="60"/>
              <w:right w:type="dxa" w:w="120"/>
            </w:tcMar>
            <w:vAlign w:val="center"/>
          </w:tcPr>
          <w:p>
            <w:r>
              <w:rPr>
                <w:b w:val="false"/>
                <w:bCs w:val="false"/>
                <w:sz w:val="19"/>
                <w:szCs w:val="19"/>
              </w:rPr>
              <w:t xml:space="preserve">Git / GitHub</w:t>
            </w:r>
          </w:p>
        </w:tc>
        <w:tc>
          <w:tcPr>
            <w:tcW w:type="dxa" w:w="3860"/>
            <w:tcBorders>
              <w:top w:val="single" w:color="B0B7C3" w:sz="1"/>
              <w:left w:val="single" w:color="B0B7C3" w:sz="1"/>
              <w:bottom w:val="single" w:color="B0B7C3" w:sz="1"/>
              <w:right w:val="single" w:color="B0B7C3" w:sz="1"/>
            </w:tcBorders>
            <w:shd w:fill="F8FAFC" w:val="clear"/>
            <w:tcMar>
              <w:top w:type="dxa" w:w="60"/>
              <w:left w:type="dxa" w:w="120"/>
              <w:bottom w:type="dxa" w:w="60"/>
              <w:right w:type="dxa" w:w="120"/>
            </w:tcMar>
            <w:vAlign w:val="center"/>
          </w:tcPr>
          <w:p>
            <w:r>
              <w:rPr>
                <w:b w:val="false"/>
                <w:bCs w:val="false"/>
                <w:sz w:val="19"/>
                <w:szCs w:val="19"/>
              </w:rPr>
              <w:t xml:space="preserve">Full dated commit history for every experiment, used as an authenticity trail.</w:t>
            </w:r>
          </w:p>
        </w:tc>
      </w:tr>
    </w:tbl>
    <w:p>
      <w:pPr>
        <w:spacing w:after="200"/>
      </w:pPr>
    </w:p>
    <w:p>
      <w:pPr>
        <w:pStyle w:val="Heading1"/>
      </w:pPr>
      <w:r>
        <w:t xml:space="preserve">4. Software Product Requirements</w:t>
      </w:r>
    </w:p>
    <w:p>
      <w:pPr>
        <w:pStyle w:val="Heading2"/>
      </w:pPr>
      <w:r>
        <w:t xml:space="preserve">4.1 Overview of Similar Products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960"/>
      </w:tblGrid>
      <w:tr>
        <w:trPr>
          <w:tblHeader/>
        </w:trPr>
        <w:tc>
          <w:tcPr>
            <w:tcW w:type="dxa" w:w="2800"/>
            <w:tcBorders>
              <w:top w:val="single" w:color="B0B7C3" w:sz="1"/>
              <w:left w:val="single" w:color="B0B7C3" w:sz="1"/>
              <w:bottom w:val="single" w:color="B0B7C3" w:sz="1"/>
              <w:right w:val="single" w:color="B0B7C3" w:sz="1"/>
            </w:tcBorders>
            <w:shd w:fill="1F2937" w:val="clear"/>
            <w:tcMar>
              <w:top w:type="dxa" w:w="80"/>
              <w:left w:type="dxa" w:w="120"/>
              <w:bottom w:type="dxa" w:w="80"/>
              <w:right w:type="dxa" w:w="120"/>
            </w:tcMar>
            <w:vAlign w:val="center"/>
          </w:tcPr>
          <w:p>
            <w:r>
              <w:rPr>
                <w:b/>
                <w:bCs/>
                <w:color w:val="FFFFFF"/>
                <w:sz w:val="19"/>
                <w:szCs w:val="19"/>
              </w:rPr>
              <w:t xml:space="preserve">Product / System</w:t>
            </w:r>
          </w:p>
        </w:tc>
        <w:tc>
          <w:tcPr>
            <w:tcW w:type="dxa" w:w="3600"/>
            <w:tcBorders>
              <w:top w:val="single" w:color="B0B7C3" w:sz="1"/>
              <w:left w:val="single" w:color="B0B7C3" w:sz="1"/>
              <w:bottom w:val="single" w:color="B0B7C3" w:sz="1"/>
              <w:right w:val="single" w:color="B0B7C3" w:sz="1"/>
            </w:tcBorders>
            <w:shd w:fill="1F2937" w:val="clear"/>
            <w:tcMar>
              <w:top w:type="dxa" w:w="80"/>
              <w:left w:type="dxa" w:w="120"/>
              <w:bottom w:type="dxa" w:w="80"/>
              <w:right w:type="dxa" w:w="120"/>
            </w:tcMar>
            <w:vAlign w:val="center"/>
          </w:tcPr>
          <w:p>
            <w:r>
              <w:rPr>
                <w:b/>
                <w:bCs/>
                <w:color w:val="FFFFFF"/>
                <w:sz w:val="19"/>
                <w:szCs w:val="19"/>
              </w:rPr>
              <w:t xml:space="preserve">Approach</w:t>
            </w:r>
          </w:p>
        </w:tc>
        <w:tc>
          <w:tcPr>
            <w:tcW w:type="dxa" w:w="2960"/>
            <w:tcBorders>
              <w:top w:val="single" w:color="B0B7C3" w:sz="1"/>
              <w:left w:val="single" w:color="B0B7C3" w:sz="1"/>
              <w:bottom w:val="single" w:color="B0B7C3" w:sz="1"/>
              <w:right w:val="single" w:color="B0B7C3" w:sz="1"/>
            </w:tcBorders>
            <w:shd w:fill="1F2937" w:val="clear"/>
            <w:tcMar>
              <w:top w:type="dxa" w:w="80"/>
              <w:left w:type="dxa" w:w="120"/>
              <w:bottom w:type="dxa" w:w="80"/>
              <w:right w:type="dxa" w:w="120"/>
            </w:tcMar>
            <w:vAlign w:val="center"/>
          </w:tcPr>
          <w:p>
            <w:r>
              <w:rPr>
                <w:b/>
                <w:bCs/>
                <w:color w:val="FFFFFF"/>
                <w:sz w:val="19"/>
                <w:szCs w:val="19"/>
              </w:rPr>
              <w:t xml:space="preserve">Gap WasteWise addresses</w:t>
            </w:r>
          </w:p>
        </w:tc>
      </w:tr>
      <w:tr>
        <w:tc>
          <w:tcPr>
            <w:tcW w:type="dxa" w:w="2800"/>
            <w:tcBorders>
              <w:top w:val="single" w:color="B0B7C3" w:sz="1"/>
              <w:left w:val="single" w:color="B0B7C3" w:sz="1"/>
              <w:bottom w:val="single" w:color="B0B7C3" w:sz="1"/>
              <w:right w:val="single" w:color="B0B7C3" w:sz="1"/>
            </w:tcBorders>
            <w:shd w:fill="F8FAFC" w:val="clear"/>
            <w:tcMar>
              <w:top w:type="dxa" w:w="60"/>
              <w:left w:type="dxa" w:w="120"/>
              <w:bottom w:type="dxa" w:w="60"/>
              <w:right w:type="dxa" w:w="120"/>
            </w:tcMar>
            <w:vAlign w:val="center"/>
          </w:tcPr>
          <w:p>
            <w:r>
              <w:rPr>
                <w:b w:val="false"/>
                <w:bCs w:val="false"/>
                <w:sz w:val="19"/>
                <w:szCs w:val="19"/>
              </w:rPr>
              <w:t xml:space="preserve">TrashNet-based classifiers (academic)</w:t>
            </w:r>
          </w:p>
        </w:tc>
        <w:tc>
          <w:tcPr>
            <w:tcW w:type="dxa" w:w="3600"/>
            <w:tcBorders>
              <w:top w:val="single" w:color="B0B7C3" w:sz="1"/>
              <w:left w:val="single" w:color="B0B7C3" w:sz="1"/>
              <w:bottom w:val="single" w:color="B0B7C3" w:sz="1"/>
              <w:right w:val="single" w:color="B0B7C3" w:sz="1"/>
            </w:tcBorders>
            <w:shd w:fill="F8FAFC" w:val="clear"/>
            <w:tcMar>
              <w:top w:type="dxa" w:w="60"/>
              <w:left w:type="dxa" w:w="120"/>
              <w:bottom w:type="dxa" w:w="60"/>
              <w:right w:type="dxa" w:w="120"/>
            </w:tcMar>
            <w:vAlign w:val="center"/>
          </w:tcPr>
          <w:p>
            <w:r>
              <w:rPr>
                <w:b w:val="false"/>
                <w:bCs w:val="false"/>
                <w:sz w:val="19"/>
                <w:szCs w:val="19"/>
              </w:rPr>
              <w:t xml:space="preserve">Single-stage CNN classification on clean, single-object studio photos.</w:t>
            </w:r>
          </w:p>
        </w:tc>
        <w:tc>
          <w:tcPr>
            <w:tcW w:type="dxa" w:w="2960"/>
            <w:tcBorders>
              <w:top w:val="single" w:color="B0B7C3" w:sz="1"/>
              <w:left w:val="single" w:color="B0B7C3" w:sz="1"/>
              <w:bottom w:val="single" w:color="B0B7C3" w:sz="1"/>
              <w:right w:val="single" w:color="B0B7C3" w:sz="1"/>
            </w:tcBorders>
            <w:shd w:fill="F8FAFC" w:val="clear"/>
            <w:tcMar>
              <w:top w:type="dxa" w:w="60"/>
              <w:left w:type="dxa" w:w="120"/>
              <w:bottom w:type="dxa" w:w="60"/>
              <w:right w:type="dxa" w:w="120"/>
            </w:tcMar>
            <w:vAlign w:val="center"/>
          </w:tcPr>
          <w:p>
            <w:r>
              <w:rPr>
                <w:b w:val="false"/>
                <w:bCs w:val="false"/>
                <w:sz w:val="19"/>
                <w:szCs w:val="19"/>
              </w:rPr>
              <w:t xml:space="preserve">Does not handle cluttered, multi-object, real-world scenes; no localisation.</w:t>
            </w:r>
          </w:p>
        </w:tc>
      </w:tr>
      <w:tr>
        <w:tc>
          <w:tcPr>
            <w:tcW w:type="dxa" w:w="2800"/>
            <w:tcBorders>
              <w:top w:val="single" w:color="B0B7C3" w:sz="1"/>
              <w:left w:val="single" w:color="B0B7C3" w:sz="1"/>
              <w:bottom w:val="single" w:color="B0B7C3" w:sz="1"/>
              <w:right w:val="single" w:color="B0B7C3" w:sz="1"/>
            </w:tcBorders>
            <w:shd w:fill="FFFFFF" w:val="clear"/>
            <w:tcMar>
              <w:top w:type="dxa" w:w="60"/>
              <w:left w:type="dxa" w:w="120"/>
              <w:bottom w:type="dxa" w:w="60"/>
              <w:right w:type="dxa" w:w="120"/>
            </w:tcMar>
            <w:vAlign w:val="center"/>
          </w:tcPr>
          <w:p>
            <w:r>
              <w:rPr>
                <w:b w:val="false"/>
                <w:bCs w:val="false"/>
                <w:sz w:val="19"/>
                <w:szCs w:val="19"/>
              </w:rPr>
              <w:t xml:space="preserve">Generic recycling-bin apps (commercial)</w:t>
            </w:r>
          </w:p>
        </w:tc>
        <w:tc>
          <w:tcPr>
            <w:tcW w:type="dxa" w:w="3600"/>
            <w:tcBorders>
              <w:top w:val="single" w:color="B0B7C3" w:sz="1"/>
              <w:left w:val="single" w:color="B0B7C3" w:sz="1"/>
              <w:bottom w:val="single" w:color="B0B7C3" w:sz="1"/>
              <w:right w:val="single" w:color="B0B7C3" w:sz="1"/>
            </w:tcBorders>
            <w:shd w:fill="FFFFFF" w:val="clear"/>
            <w:tcMar>
              <w:top w:type="dxa" w:w="60"/>
              <w:left w:type="dxa" w:w="120"/>
              <w:bottom w:type="dxa" w:w="60"/>
              <w:right w:type="dxa" w:w="120"/>
            </w:tcMar>
            <w:vAlign w:val="center"/>
          </w:tcPr>
          <w:p>
            <w:r>
              <w:rPr>
                <w:b w:val="false"/>
                <w:bCs w:val="false"/>
                <w:sz w:val="19"/>
                <w:szCs w:val="19"/>
              </w:rPr>
              <w:t xml:space="preserve">Barcode / manual category selection, or single classification call per photo.</w:t>
            </w:r>
          </w:p>
        </w:tc>
        <w:tc>
          <w:tcPr>
            <w:tcW w:type="dxa" w:w="2960"/>
            <w:tcBorders>
              <w:top w:val="single" w:color="B0B7C3" w:sz="1"/>
              <w:left w:val="single" w:color="B0B7C3" w:sz="1"/>
              <w:bottom w:val="single" w:color="B0B7C3" w:sz="1"/>
              <w:right w:val="single" w:color="B0B7C3" w:sz="1"/>
            </w:tcBorders>
            <w:shd w:fill="FFFFFF" w:val="clear"/>
            <w:tcMar>
              <w:top w:type="dxa" w:w="60"/>
              <w:left w:type="dxa" w:w="120"/>
              <w:bottom w:type="dxa" w:w="60"/>
              <w:right w:type="dxa" w:w="120"/>
            </w:tcMar>
            <w:vAlign w:val="center"/>
          </w:tcPr>
          <w:p>
            <w:r>
              <w:rPr>
                <w:b w:val="false"/>
                <w:bCs w:val="false"/>
                <w:sz w:val="19"/>
                <w:szCs w:val="19"/>
              </w:rPr>
              <w:t xml:space="preserve">No automatic localisation of multiple items in one photo; no measured accuracy disclosure.</w:t>
            </w:r>
          </w:p>
        </w:tc>
      </w:tr>
      <w:tr>
        <w:tc>
          <w:tcPr>
            <w:tcW w:type="dxa" w:w="2800"/>
            <w:tcBorders>
              <w:top w:val="single" w:color="B0B7C3" w:sz="1"/>
              <w:left w:val="single" w:color="B0B7C3" w:sz="1"/>
              <w:bottom w:val="single" w:color="B0B7C3" w:sz="1"/>
              <w:right w:val="single" w:color="B0B7C3" w:sz="1"/>
            </w:tcBorders>
            <w:shd w:fill="F8FAFC" w:val="clear"/>
            <w:tcMar>
              <w:top w:type="dxa" w:w="60"/>
              <w:left w:type="dxa" w:w="120"/>
              <w:bottom w:type="dxa" w:w="60"/>
              <w:right w:type="dxa" w:w="120"/>
            </w:tcMar>
            <w:vAlign w:val="center"/>
          </w:tcPr>
          <w:p>
            <w:r>
              <w:rPr>
                <w:b w:val="false"/>
                <w:bCs w:val="false"/>
                <w:sz w:val="19"/>
                <w:szCs w:val="19"/>
              </w:rPr>
              <w:t xml:space="preserve">PlastOPol citizen-science app</w:t>
            </w:r>
          </w:p>
        </w:tc>
        <w:tc>
          <w:tcPr>
            <w:tcW w:type="dxa" w:w="3600"/>
            <w:tcBorders>
              <w:top w:val="single" w:color="B0B7C3" w:sz="1"/>
              <w:left w:val="single" w:color="B0B7C3" w:sz="1"/>
              <w:bottom w:val="single" w:color="B0B7C3" w:sz="1"/>
              <w:right w:val="single" w:color="B0B7C3" w:sz="1"/>
            </w:tcBorders>
            <w:shd w:fill="F8FAFC" w:val="clear"/>
            <w:tcMar>
              <w:top w:type="dxa" w:w="60"/>
              <w:left w:type="dxa" w:w="120"/>
              <w:bottom w:type="dxa" w:w="60"/>
              <w:right w:type="dxa" w:w="120"/>
            </w:tcMar>
            <w:vAlign w:val="center"/>
          </w:tcPr>
          <w:p>
            <w:r>
              <w:rPr>
                <w:b w:val="false"/>
                <w:bCs w:val="false"/>
                <w:sz w:val="19"/>
                <w:szCs w:val="19"/>
              </w:rPr>
              <w:t xml:space="preserve">Crowdsourced litter photo capture with a human-in-the-loop detection model, geospatial monitoring focus.</w:t>
            </w:r>
          </w:p>
        </w:tc>
        <w:tc>
          <w:tcPr>
            <w:tcW w:type="dxa" w:w="2960"/>
            <w:tcBorders>
              <w:top w:val="single" w:color="B0B7C3" w:sz="1"/>
              <w:left w:val="single" w:color="B0B7C3" w:sz="1"/>
              <w:bottom w:val="single" w:color="B0B7C3" w:sz="1"/>
              <w:right w:val="single" w:color="B0B7C3" w:sz="1"/>
            </w:tcBorders>
            <w:shd w:fill="F8FAFC" w:val="clear"/>
            <w:tcMar>
              <w:top w:type="dxa" w:w="60"/>
              <w:left w:type="dxa" w:w="120"/>
              <w:bottom w:type="dxa" w:w="60"/>
              <w:right w:type="dxa" w:w="120"/>
            </w:tcMar>
            <w:vAlign w:val="center"/>
          </w:tcPr>
          <w:p>
            <w:r>
              <w:rPr>
                <w:b w:val="false"/>
                <w:bCs w:val="false"/>
                <w:sz w:val="19"/>
                <w:szCs w:val="19"/>
              </w:rPr>
              <w:t xml:space="preserve">Optimised for litter mapping, not material-level recycling guidance or bin routing.</w:t>
            </w:r>
          </w:p>
        </w:tc>
      </w:tr>
      <w:tr>
        <w:tc>
          <w:tcPr>
            <w:tcW w:type="dxa" w:w="2800"/>
            <w:tcBorders>
              <w:top w:val="single" w:color="B0B7C3" w:sz="1"/>
              <w:left w:val="single" w:color="B0B7C3" w:sz="1"/>
              <w:bottom w:val="single" w:color="B0B7C3" w:sz="1"/>
              <w:right w:val="single" w:color="B0B7C3" w:sz="1"/>
            </w:tcBorders>
            <w:shd w:fill="FFFFFF" w:val="clear"/>
            <w:tcMar>
              <w:top w:type="dxa" w:w="60"/>
              <w:left w:type="dxa" w:w="120"/>
              <w:bottom w:type="dxa" w:w="60"/>
              <w:right w:type="dxa" w:w="120"/>
            </w:tcMar>
            <w:vAlign w:val="center"/>
          </w:tcPr>
          <w:p>
            <w:r>
              <w:rPr>
                <w:b w:val="false"/>
                <w:bCs w:val="false"/>
                <w:sz w:val="19"/>
                <w:szCs w:val="19"/>
              </w:rPr>
              <w:t xml:space="preserve">WasteWise (this project)</w:t>
            </w:r>
          </w:p>
        </w:tc>
        <w:tc>
          <w:tcPr>
            <w:tcW w:type="dxa" w:w="3600"/>
            <w:tcBorders>
              <w:top w:val="single" w:color="B0B7C3" w:sz="1"/>
              <w:left w:val="single" w:color="B0B7C3" w:sz="1"/>
              <w:bottom w:val="single" w:color="B0B7C3" w:sz="1"/>
              <w:right w:val="single" w:color="B0B7C3" w:sz="1"/>
            </w:tcBorders>
            <w:shd w:fill="FFFFFF" w:val="clear"/>
            <w:tcMar>
              <w:top w:type="dxa" w:w="60"/>
              <w:left w:type="dxa" w:w="120"/>
              <w:bottom w:type="dxa" w:w="60"/>
              <w:right w:type="dxa" w:w="120"/>
            </w:tcMar>
            <w:vAlign w:val="center"/>
          </w:tcPr>
          <w:p>
            <w:r>
              <w:rPr>
                <w:b w:val="false"/>
                <w:bCs w:val="false"/>
                <w:sz w:val="19"/>
                <w:szCs w:val="19"/>
              </w:rPr>
              <w:t xml:space="preserve">Two-stage localisation-first pipeline + explainable classical ML branch, leakage-audited metrics, live web demo.</w:t>
            </w:r>
          </w:p>
        </w:tc>
        <w:tc>
          <w:tcPr>
            <w:tcW w:type="dxa" w:w="2960"/>
            <w:tcBorders>
              <w:top w:val="single" w:color="B0B7C3" w:sz="1"/>
              <w:left w:val="single" w:color="B0B7C3" w:sz="1"/>
              <w:bottom w:val="single" w:color="B0B7C3" w:sz="1"/>
              <w:right w:val="single" w:color="B0B7C3" w:sz="1"/>
            </w:tcBorders>
            <w:shd w:fill="FFFFFF" w:val="clear"/>
            <w:tcMar>
              <w:top w:type="dxa" w:w="60"/>
              <w:left w:type="dxa" w:w="120"/>
              <w:bottom w:type="dxa" w:w="60"/>
              <w:right w:type="dxa" w:w="120"/>
            </w:tcMar>
            <w:vAlign w:val="center"/>
          </w:tcPr>
          <w:p>
            <w:r>
              <w:rPr>
                <w:b w:val="false"/>
                <w:bCs w:val="false"/>
                <w:sz w:val="19"/>
                <w:szCs w:val="19"/>
              </w:rPr>
              <w:t xml:space="preserve">Combines localisation, material verification, bin routing, and a fully disclosed, audited evaluation.</w:t>
            </w:r>
          </w:p>
        </w:tc>
      </w:tr>
    </w:tbl>
    <w:p>
      <w:pPr>
        <w:spacing w:after="200"/>
      </w:pPr>
    </w:p>
    <w:p>
      <w:pPr>
        <w:pStyle w:val="Heading2"/>
      </w:pPr>
      <w:r>
        <w:t xml:space="preserve">4.2 User Stories and Use Case Diagram</w:t>
      </w:r>
    </w:p>
    <w:p>
      <w:pPr>
        <w:pStyle w:val="ListParagraph"/>
        <w:numPr>
          <w:ilvl w:val="0"/>
          <w:numId w:val="3"/>
        </w:numPr>
        <w:spacing w:after="80"/>
      </w:pPr>
      <w:r>
        <w:t xml:space="preserve">As an end user, I want to upload a photo so that the system finds every waste item in it, not just one.</w:t>
      </w:r>
    </w:p>
    <w:p>
      <w:pPr>
        <w:pStyle w:val="ListParagraph"/>
        <w:numPr>
          <w:ilvl w:val="0"/>
          <w:numId w:val="3"/>
        </w:numPr>
        <w:spacing w:after="80"/>
      </w:pPr>
      <w:r>
        <w:t xml:space="preserve">As an end user, I want to see the predicted material for each item and a bin-routing suggestion, so I know how to dispose of it.</w:t>
      </w:r>
    </w:p>
    <w:p>
      <w:pPr>
        <w:pStyle w:val="ListParagraph"/>
        <w:numPr>
          <w:ilvl w:val="0"/>
          <w:numId w:val="3"/>
        </w:numPr>
        <w:spacing w:after="80"/>
      </w:pPr>
      <w:r>
        <w:t xml:space="preserve">As an end user, I want to see why the system is unsure (a 'review' state) rather than a falsely confident answer.</w:t>
      </w:r>
    </w:p>
    <w:p>
      <w:pPr>
        <w:pStyle w:val="ListParagraph"/>
        <w:numPr>
          <w:ilvl w:val="0"/>
          <w:numId w:val="3"/>
        </w:numPr>
        <w:spacing w:after="80"/>
      </w:pPr>
      <w:r>
        <w:t xml:space="preserve">As a project reviewer, I want to browse the evidence and audit pages so that every accuracy claim is traceable to a script and a run folder.</w:t>
      </w:r>
    </w:p>
    <w:p>
      <w:pPr>
        <w:pStyle w:val="ListParagraph"/>
        <w:numPr>
          <w:ilvl w:val="0"/>
          <w:numId w:val="3"/>
        </w:numPr>
        <w:spacing w:after="80"/>
      </w:pPr>
      <w:r>
        <w:t xml:space="preserve">As the ML engineer, I want to re-run the leakage audit and the evaluation suite after any dataset or model change, so regressions are caught before deployment.</w:t>
      </w:r>
    </w:p>
    <w:p>
      <w:pPr>
        <w:pStyle w:val="ListParagraph"/>
        <w:numPr>
          <w:ilvl w:val="0"/>
          <w:numId w:val="3"/>
        </w:numPr>
        <w:spacing w:after="80"/>
      </w:pPr>
      <w:r>
        <w:t xml:space="preserve">As the ML engineer, I want a promotion gate on every fine-tune, so a model is only deployed if it improves a held-out metric without an unacceptable regression elsewhere.</w:t>
      </w:r>
    </w:p>
    <w:p>
      <w:pPr>
        <w:spacing w:after="40" w:before="120"/>
        <w:jc w:val="center"/>
      </w:pPr>
      <w:r>
        <w:drawing>
          <wp:inline distT="0" distB="0" distL="0" distR="0">
            <wp:extent cx="4953000" cy="6677025"/>
            <wp:effectExtent t="0" r="0" b="0" l="0"/>
            <wp:docPr id="1" name="Figure 1. Use case diagram for WasteWise: end-user and ML-engineer actors against the web application and the offline experimentation tooling." descr="Figure 1. Use case diagram for WasteWise: end-user and ML-engineer actors against the web application and the offline experimentation tooling." title="Figure 1. Use case diagram for WasteWise: end-user and ML-engineer actors against the web application and the offline experimentation too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6677025"/>
                    </a:xfrm>
                    <a:prstGeom prst="rect">
                      <a:avLst/>
                    </a:prstGeom>
                  </pic:spPr>
                </pic:pic>
              </a:graphicData>
            </a:graphic>
          </wp:inline>
        </w:drawing>
      </w:r>
    </w:p>
    <w:p>
      <w:pPr>
        <w:spacing w:after="240" w:before="80"/>
        <w:jc w:val="center"/>
      </w:pPr>
      <w:r>
        <w:rPr>
          <w:i/>
          <w:iCs/>
          <w:sz w:val="20"/>
          <w:szCs w:val="20"/>
        </w:rPr>
        <w:t xml:space="preserve">Figure 1. Use case diagram for WasteWise: end-user and ML-engineer actors against the web application and the offline experimentation tooling.</w:t>
      </w:r>
    </w:p>
    <w:p>
      <w:pPr>
        <w:pStyle w:val="Heading2"/>
      </w:pPr>
      <w:r>
        <w:t xml:space="preserve">4.3 System Flow and Activity Diagram</w:t>
      </w:r>
    </w:p>
    <w:p>
      <w:pPr>
        <w:spacing w:after="160"/>
        <w:jc w:val="both"/>
      </w:pPr>
      <w:r>
        <w:rPr>
          <w:b w:val="false"/>
          <w:bCs w:val="false"/>
          <w:i w:val="false"/>
          <w:iCs w:val="false"/>
        </w:rPr>
        <w:t xml:space="preserve">Figure 2 traces a single scan request across the three participants in the live system: the end user, the Flask web front-end, and the Python model API that hosts the two-stage pipeline. This mirrors the six numbered steps (S1-S6) exposed directly in the reworked web GUI, so that what the examiner sees on screen during a live demo corresponds one-to-one with a swim lane in this diagram.</w:t>
      </w:r>
    </w:p>
    <w:p>
      <w:pPr>
        <w:spacing w:after="40" w:before="120"/>
        <w:jc w:val="center"/>
      </w:pPr>
      <w:r>
        <w:drawing>
          <wp:inline distT="0" distB="0" distL="0" distR="0">
            <wp:extent cx="4381500" cy="4533900"/>
            <wp:effectExtent t="0" r="0" b="0" l="0"/>
            <wp:docPr id="1" name="Figure 2. Activity diagram for a single end-to-end scan request, from image upload to the rendered six-step result stepper." descr="Figure 2. Activity diagram for a single end-to-end scan request, from image upload to the rendered six-step result stepper." title="Figure 2. Activity diagram for a single end-to-end scan request, from image upload to the rendered six-step result step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4533900"/>
                    </a:xfrm>
                    <a:prstGeom prst="rect">
                      <a:avLst/>
                    </a:prstGeom>
                  </pic:spPr>
                </pic:pic>
              </a:graphicData>
            </a:graphic>
          </wp:inline>
        </w:drawing>
      </w:r>
    </w:p>
    <w:p>
      <w:pPr>
        <w:spacing w:after="240" w:before="80"/>
        <w:jc w:val="center"/>
      </w:pPr>
      <w:r>
        <w:rPr>
          <w:i/>
          <w:iCs/>
          <w:sz w:val="20"/>
          <w:szCs w:val="20"/>
        </w:rPr>
        <w:t xml:space="preserve">Figure 2. Activity diagram for a single end-to-end scan request, from image upload to the rendered six-step result stepper.</w:t>
      </w:r>
    </w:p>
    <w:p>
      <w:pPr>
        <w:pStyle w:val="Heading2"/>
      </w:pPr>
      <w:r>
        <w:t xml:space="preserve">4.4 Experiment and Dataset Artefact Model</w:t>
      </w:r>
    </w:p>
    <w:p>
      <w:pPr>
        <w:spacing w:after="160"/>
        <w:jc w:val="both"/>
      </w:pPr>
      <w:r>
        <w:rPr>
          <w:b w:val="false"/>
          <w:bCs w:val="false"/>
          <w:i w:val="false"/>
          <w:iCs w:val="false"/>
        </w:rPr>
        <w:t xml:space="preserve">WasteWise does not use a relational database; instead, every dataset version and every experiment run is a self-describing folder on disk, which functions as the project's data model. Table 3 documents this artefact schema, which plays the same role an Entity-Relationship Diagram would play in a database-backed system: it defines what a 'dataset', a 'run', and an 'audit' are, and how they reference one another.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00"/>
        <w:gridCol w:w="3060"/>
      </w:tblGrid>
      <w:tr>
        <w:trPr>
          <w:tblHeader/>
        </w:trPr>
        <w:tc>
          <w:tcPr>
            <w:tcW w:type="dxa" w:w="2200"/>
            <w:tcBorders>
              <w:top w:val="single" w:color="B0B7C3" w:sz="1"/>
              <w:left w:val="single" w:color="B0B7C3" w:sz="1"/>
              <w:bottom w:val="single" w:color="B0B7C3" w:sz="1"/>
              <w:right w:val="single" w:color="B0B7C3" w:sz="1"/>
            </w:tcBorders>
            <w:shd w:fill="1F2937" w:val="clear"/>
            <w:tcMar>
              <w:top w:type="dxa" w:w="80"/>
              <w:left w:type="dxa" w:w="120"/>
              <w:bottom w:type="dxa" w:w="80"/>
              <w:right w:type="dxa" w:w="120"/>
            </w:tcMar>
            <w:vAlign w:val="center"/>
          </w:tcPr>
          <w:p>
            <w:r>
              <w:rPr>
                <w:b/>
                <w:bCs/>
                <w:color w:val="FFFFFF"/>
                <w:sz w:val="19"/>
                <w:szCs w:val="19"/>
              </w:rPr>
              <w:t xml:space="preserve">Entity</w:t>
            </w:r>
          </w:p>
        </w:tc>
        <w:tc>
          <w:tcPr>
            <w:tcW w:type="dxa" w:w="4100"/>
            <w:tcBorders>
              <w:top w:val="single" w:color="B0B7C3" w:sz="1"/>
              <w:left w:val="single" w:color="B0B7C3" w:sz="1"/>
              <w:bottom w:val="single" w:color="B0B7C3" w:sz="1"/>
              <w:right w:val="single" w:color="B0B7C3" w:sz="1"/>
            </w:tcBorders>
            <w:shd w:fill="1F2937" w:val="clear"/>
            <w:tcMar>
              <w:top w:type="dxa" w:w="80"/>
              <w:left w:type="dxa" w:w="120"/>
              <w:bottom w:type="dxa" w:w="80"/>
              <w:right w:type="dxa" w:w="120"/>
            </w:tcMar>
            <w:vAlign w:val="center"/>
          </w:tcPr>
          <w:p>
            <w:r>
              <w:rPr>
                <w:b/>
                <w:bCs/>
                <w:color w:val="FFFFFF"/>
                <w:sz w:val="19"/>
                <w:szCs w:val="19"/>
              </w:rPr>
              <w:t xml:space="preserve">Key attributes</w:t>
            </w:r>
          </w:p>
        </w:tc>
        <w:tc>
          <w:tcPr>
            <w:tcW w:type="dxa" w:w="3060"/>
            <w:tcBorders>
              <w:top w:val="single" w:color="B0B7C3" w:sz="1"/>
              <w:left w:val="single" w:color="B0B7C3" w:sz="1"/>
              <w:bottom w:val="single" w:color="B0B7C3" w:sz="1"/>
              <w:right w:val="single" w:color="B0B7C3" w:sz="1"/>
            </w:tcBorders>
            <w:shd w:fill="1F2937" w:val="clear"/>
            <w:tcMar>
              <w:top w:type="dxa" w:w="80"/>
              <w:left w:type="dxa" w:w="120"/>
              <w:bottom w:type="dxa" w:w="80"/>
              <w:right w:type="dxa" w:w="120"/>
            </w:tcMar>
            <w:vAlign w:val="center"/>
          </w:tcPr>
          <w:p>
            <w:r>
              <w:rPr>
                <w:b/>
                <w:bCs/>
                <w:color w:val="FFFFFF"/>
                <w:sz w:val="19"/>
                <w:szCs w:val="19"/>
              </w:rPr>
              <w:t xml:space="preserve">References</w:t>
            </w:r>
          </w:p>
        </w:tc>
      </w:tr>
      <w:tr>
        <w:tc>
          <w:tcPr>
            <w:tcW w:type="dxa" w:w="2200"/>
            <w:tcBorders>
              <w:top w:val="single" w:color="B0B7C3" w:sz="1"/>
              <w:left w:val="single" w:color="B0B7C3" w:sz="1"/>
              <w:bottom w:val="single" w:color="B0B7C3" w:sz="1"/>
              <w:right w:val="single" w:color="B0B7C3" w:sz="1"/>
            </w:tcBorders>
            <w:shd w:fill="F8FAFC" w:val="clear"/>
            <w:tcMar>
              <w:top w:type="dxa" w:w="60"/>
              <w:left w:type="dxa" w:w="120"/>
              <w:bottom w:type="dxa" w:w="60"/>
              <w:right w:type="dxa" w:w="120"/>
            </w:tcMar>
            <w:vAlign w:val="center"/>
          </w:tcPr>
          <w:p>
            <w:r>
              <w:rPr>
                <w:b w:val="false"/>
                <w:bCs w:val="false"/>
                <w:sz w:val="19"/>
                <w:szCs w:val="19"/>
              </w:rPr>
              <w:t xml:space="preserve">Dataset generation</w:t>
            </w:r>
          </w:p>
        </w:tc>
        <w:tc>
          <w:tcPr>
            <w:tcW w:type="dxa" w:w="4100"/>
            <w:tcBorders>
              <w:top w:val="single" w:color="B0B7C3" w:sz="1"/>
              <w:left w:val="single" w:color="B0B7C3" w:sz="1"/>
              <w:bottom w:val="single" w:color="B0B7C3" w:sz="1"/>
              <w:right w:val="single" w:color="B0B7C3" w:sz="1"/>
            </w:tcBorders>
            <w:shd w:fill="F8FAFC" w:val="clear"/>
            <w:tcMar>
              <w:top w:type="dxa" w:w="60"/>
              <w:left w:type="dxa" w:w="120"/>
              <w:bottom w:type="dxa" w:w="60"/>
              <w:right w:type="dxa" w:w="120"/>
            </w:tcMar>
            <w:vAlign w:val="center"/>
          </w:tcPr>
          <w:p>
            <w:r>
              <w:rPr>
                <w:b w:val="false"/>
                <w:bCs w:val="false"/>
                <w:sz w:val="19"/>
                <w:szCs w:val="19"/>
              </w:rPr>
              <w:t xml:space="preserve">name (e.g. merged_dataset_v5), path, class list, split counts, data.yaml</w:t>
            </w:r>
          </w:p>
        </w:tc>
        <w:tc>
          <w:tcPr>
            <w:tcW w:type="dxa" w:w="3060"/>
            <w:tcBorders>
              <w:top w:val="single" w:color="B0B7C3" w:sz="1"/>
              <w:left w:val="single" w:color="B0B7C3" w:sz="1"/>
              <w:bottom w:val="single" w:color="B0B7C3" w:sz="1"/>
              <w:right w:val="single" w:color="B0B7C3" w:sz="1"/>
            </w:tcBorders>
            <w:shd w:fill="F8FAFC" w:val="clear"/>
            <w:tcMar>
              <w:top w:type="dxa" w:w="60"/>
              <w:left w:type="dxa" w:w="120"/>
              <w:bottom w:type="dxa" w:w="60"/>
              <w:right w:type="dxa" w:w="120"/>
            </w:tcMar>
            <w:vAlign w:val="center"/>
          </w:tcPr>
          <w:p>
            <w:r>
              <w:rPr>
                <w:b w:val="false"/>
                <w:bCs w:val="false"/>
                <w:sz w:val="19"/>
                <w:szCs w:val="19"/>
              </w:rPr>
              <w:t xml:space="preserve">Produced from one or more Raw Sources; consumed by Run entities.</w:t>
            </w:r>
          </w:p>
        </w:tc>
      </w:tr>
      <w:tr>
        <w:tc>
          <w:tcPr>
            <w:tcW w:type="dxa" w:w="2200"/>
            <w:tcBorders>
              <w:top w:val="single" w:color="B0B7C3" w:sz="1"/>
              <w:left w:val="single" w:color="B0B7C3" w:sz="1"/>
              <w:bottom w:val="single" w:color="B0B7C3" w:sz="1"/>
              <w:right w:val="single" w:color="B0B7C3" w:sz="1"/>
            </w:tcBorders>
            <w:shd w:fill="FFFFFF" w:val="clear"/>
            <w:tcMar>
              <w:top w:type="dxa" w:w="60"/>
              <w:left w:type="dxa" w:w="120"/>
              <w:bottom w:type="dxa" w:w="60"/>
              <w:right w:type="dxa" w:w="120"/>
            </w:tcMar>
            <w:vAlign w:val="center"/>
          </w:tcPr>
          <w:p>
            <w:r>
              <w:rPr>
                <w:b w:val="false"/>
                <w:bCs w:val="false"/>
                <w:sz w:val="19"/>
                <w:szCs w:val="19"/>
              </w:rPr>
              <w:t xml:space="preserve">Raw source</w:t>
            </w:r>
          </w:p>
        </w:tc>
        <w:tc>
          <w:tcPr>
            <w:tcW w:type="dxa" w:w="4100"/>
            <w:tcBorders>
              <w:top w:val="single" w:color="B0B7C3" w:sz="1"/>
              <w:left w:val="single" w:color="B0B7C3" w:sz="1"/>
              <w:bottom w:val="single" w:color="B0B7C3" w:sz="1"/>
              <w:right w:val="single" w:color="B0B7C3" w:sz="1"/>
            </w:tcBorders>
            <w:shd w:fill="FFFFFF" w:val="clear"/>
            <w:tcMar>
              <w:top w:type="dxa" w:w="60"/>
              <w:left w:type="dxa" w:w="120"/>
              <w:bottom w:type="dxa" w:w="60"/>
              <w:right w:type="dxa" w:w="120"/>
            </w:tcMar>
            <w:vAlign w:val="center"/>
          </w:tcPr>
          <w:p>
            <w:r>
              <w:rPr>
                <w:b w:val="false"/>
                <w:bCs w:val="false"/>
                <w:sz w:val="19"/>
                <w:szCs w:val="19"/>
              </w:rPr>
              <w:t xml:space="preserve">origin (TACO / TrashNet / PlastOPol / Roboflow re-export), licence, acquisition domain (studio vs. field)</w:t>
            </w:r>
          </w:p>
        </w:tc>
        <w:tc>
          <w:tcPr>
            <w:tcW w:type="dxa" w:w="3060"/>
            <w:tcBorders>
              <w:top w:val="single" w:color="B0B7C3" w:sz="1"/>
              <w:left w:val="single" w:color="B0B7C3" w:sz="1"/>
              <w:bottom w:val="single" w:color="B0B7C3" w:sz="1"/>
              <w:right w:val="single" w:color="B0B7C3" w:sz="1"/>
            </w:tcBorders>
            <w:shd w:fill="FFFFFF" w:val="clear"/>
            <w:tcMar>
              <w:top w:type="dxa" w:w="60"/>
              <w:left w:type="dxa" w:w="120"/>
              <w:bottom w:type="dxa" w:w="60"/>
              <w:right w:type="dxa" w:w="120"/>
            </w:tcMar>
            <w:vAlign w:val="center"/>
          </w:tcPr>
          <w:p>
            <w:r>
              <w:rPr>
                <w:b w:val="false"/>
                <w:bCs w:val="false"/>
                <w:sz w:val="19"/>
                <w:szCs w:val="19"/>
              </w:rPr>
              <w:t xml:space="preserve">Feeds into one or more Dataset generations.</w:t>
            </w:r>
          </w:p>
        </w:tc>
      </w:tr>
      <w:tr>
        <w:tc>
          <w:tcPr>
            <w:tcW w:type="dxa" w:w="2200"/>
            <w:tcBorders>
              <w:top w:val="single" w:color="B0B7C3" w:sz="1"/>
              <w:left w:val="single" w:color="B0B7C3" w:sz="1"/>
              <w:bottom w:val="single" w:color="B0B7C3" w:sz="1"/>
              <w:right w:val="single" w:color="B0B7C3" w:sz="1"/>
            </w:tcBorders>
            <w:shd w:fill="F8FAFC" w:val="clear"/>
            <w:tcMar>
              <w:top w:type="dxa" w:w="60"/>
              <w:left w:type="dxa" w:w="120"/>
              <w:bottom w:type="dxa" w:w="60"/>
              <w:right w:type="dxa" w:w="120"/>
            </w:tcMar>
            <w:vAlign w:val="center"/>
          </w:tcPr>
          <w:p>
            <w:r>
              <w:rPr>
                <w:b w:val="false"/>
                <w:bCs w:val="false"/>
                <w:sz w:val="19"/>
                <w:szCs w:val="19"/>
              </w:rPr>
              <w:t xml:space="preserve">Run</w:t>
            </w:r>
          </w:p>
        </w:tc>
        <w:tc>
          <w:tcPr>
            <w:tcW w:type="dxa" w:w="4100"/>
            <w:tcBorders>
              <w:top w:val="single" w:color="B0B7C3" w:sz="1"/>
              <w:left w:val="single" w:color="B0B7C3" w:sz="1"/>
              <w:bottom w:val="single" w:color="B0B7C3" w:sz="1"/>
              <w:right w:val="single" w:color="B0B7C3" w:sz="1"/>
            </w:tcBorders>
            <w:shd w:fill="F8FAFC" w:val="clear"/>
            <w:tcMar>
              <w:top w:type="dxa" w:w="60"/>
              <w:left w:type="dxa" w:w="120"/>
              <w:bottom w:type="dxa" w:w="60"/>
              <w:right w:type="dxa" w:w="120"/>
            </w:tcMar>
            <w:vAlign w:val="center"/>
          </w:tcPr>
          <w:p>
            <w:r>
              <w:rPr>
                <w:b w:val="false"/>
                <w:bCs w:val="false"/>
                <w:sz w:val="19"/>
                <w:szCs w:val="19"/>
              </w:rPr>
              <w:t xml:space="preserve">run id/path under runs/, script name, hyperparameters, output metrics (JSON/Markdown), timestamp</w:t>
            </w:r>
          </w:p>
        </w:tc>
        <w:tc>
          <w:tcPr>
            <w:tcW w:type="dxa" w:w="3060"/>
            <w:tcBorders>
              <w:top w:val="single" w:color="B0B7C3" w:sz="1"/>
              <w:left w:val="single" w:color="B0B7C3" w:sz="1"/>
              <w:bottom w:val="single" w:color="B0B7C3" w:sz="1"/>
              <w:right w:val="single" w:color="B0B7C3" w:sz="1"/>
            </w:tcBorders>
            <w:shd w:fill="F8FAFC" w:val="clear"/>
            <w:tcMar>
              <w:top w:type="dxa" w:w="60"/>
              <w:left w:type="dxa" w:w="120"/>
              <w:bottom w:type="dxa" w:w="60"/>
              <w:right w:type="dxa" w:w="120"/>
            </w:tcMar>
            <w:vAlign w:val="center"/>
          </w:tcPr>
          <w:p>
            <w:r>
              <w:rPr>
                <w:b w:val="false"/>
                <w:bCs w:val="false"/>
                <w:sz w:val="19"/>
                <w:szCs w:val="19"/>
              </w:rPr>
              <w:t xml:space="preserve">References exactly one Dataset generation and one model checkpoint.</w:t>
            </w:r>
          </w:p>
        </w:tc>
      </w:tr>
      <w:tr>
        <w:tc>
          <w:tcPr>
            <w:tcW w:type="dxa" w:w="2200"/>
            <w:tcBorders>
              <w:top w:val="single" w:color="B0B7C3" w:sz="1"/>
              <w:left w:val="single" w:color="B0B7C3" w:sz="1"/>
              <w:bottom w:val="single" w:color="B0B7C3" w:sz="1"/>
              <w:right w:val="single" w:color="B0B7C3" w:sz="1"/>
            </w:tcBorders>
            <w:shd w:fill="FFFFFF" w:val="clear"/>
            <w:tcMar>
              <w:top w:type="dxa" w:w="60"/>
              <w:left w:type="dxa" w:w="120"/>
              <w:bottom w:type="dxa" w:w="60"/>
              <w:right w:type="dxa" w:w="120"/>
            </w:tcMar>
            <w:vAlign w:val="center"/>
          </w:tcPr>
          <w:p>
            <w:r>
              <w:rPr>
                <w:b w:val="false"/>
                <w:bCs w:val="false"/>
                <w:sz w:val="19"/>
                <w:szCs w:val="19"/>
              </w:rPr>
              <w:t xml:space="preserve">Audit</w:t>
            </w:r>
          </w:p>
        </w:tc>
        <w:tc>
          <w:tcPr>
            <w:tcW w:type="dxa" w:w="4100"/>
            <w:tcBorders>
              <w:top w:val="single" w:color="B0B7C3" w:sz="1"/>
              <w:left w:val="single" w:color="B0B7C3" w:sz="1"/>
              <w:bottom w:val="single" w:color="B0B7C3" w:sz="1"/>
              <w:right w:val="single" w:color="B0B7C3" w:sz="1"/>
            </w:tcBorders>
            <w:shd w:fill="FFFFFF" w:val="clear"/>
            <w:tcMar>
              <w:top w:type="dxa" w:w="60"/>
              <w:left w:type="dxa" w:w="120"/>
              <w:bottom w:type="dxa" w:w="60"/>
              <w:right w:type="dxa" w:w="120"/>
            </w:tcMar>
            <w:vAlign w:val="center"/>
          </w:tcPr>
          <w:p>
            <w:r>
              <w:rPr>
                <w:b w:val="false"/>
                <w:bCs w:val="false"/>
                <w:sz w:val="19"/>
                <w:szCs w:val="19"/>
              </w:rPr>
              <w:t xml:space="preserve">audit id under runs/audits/, method (MD5 / perceptual dHash), quarantine manifest, corrected metrics</w:t>
            </w:r>
          </w:p>
        </w:tc>
        <w:tc>
          <w:tcPr>
            <w:tcW w:type="dxa" w:w="3060"/>
            <w:tcBorders>
              <w:top w:val="single" w:color="B0B7C3" w:sz="1"/>
              <w:left w:val="single" w:color="B0B7C3" w:sz="1"/>
              <w:bottom w:val="single" w:color="B0B7C3" w:sz="1"/>
              <w:right w:val="single" w:color="B0B7C3" w:sz="1"/>
            </w:tcBorders>
            <w:shd w:fill="FFFFFF" w:val="clear"/>
            <w:tcMar>
              <w:top w:type="dxa" w:w="60"/>
              <w:left w:type="dxa" w:w="120"/>
              <w:bottom w:type="dxa" w:w="60"/>
              <w:right w:type="dxa" w:w="120"/>
            </w:tcMar>
            <w:vAlign w:val="center"/>
          </w:tcPr>
          <w:p>
            <w:r>
              <w:rPr>
                <w:b w:val="false"/>
                <w:bCs w:val="false"/>
                <w:sz w:val="19"/>
                <w:szCs w:val="19"/>
              </w:rPr>
              <w:t xml:space="preserve">References the Dataset generation(s) it inspected and the Run(s) whose metrics it corrects.</w:t>
            </w:r>
          </w:p>
        </w:tc>
      </w:tr>
      <w:tr>
        <w:tc>
          <w:tcPr>
            <w:tcW w:type="dxa" w:w="2200"/>
            <w:tcBorders>
              <w:top w:val="single" w:color="B0B7C3" w:sz="1"/>
              <w:left w:val="single" w:color="B0B7C3" w:sz="1"/>
              <w:bottom w:val="single" w:color="B0B7C3" w:sz="1"/>
              <w:right w:val="single" w:color="B0B7C3" w:sz="1"/>
            </w:tcBorders>
            <w:shd w:fill="F8FAFC" w:val="clear"/>
            <w:tcMar>
              <w:top w:type="dxa" w:w="60"/>
              <w:left w:type="dxa" w:w="120"/>
              <w:bottom w:type="dxa" w:w="60"/>
              <w:right w:type="dxa" w:w="120"/>
            </w:tcMar>
            <w:vAlign w:val="center"/>
          </w:tcPr>
          <w:p>
            <w:r>
              <w:rPr>
                <w:b w:val="false"/>
                <w:bCs w:val="false"/>
                <w:sz w:val="19"/>
                <w:szCs w:val="19"/>
              </w:rPr>
              <w:t xml:space="preserve">Model checkpoint</w:t>
            </w:r>
          </w:p>
        </w:tc>
        <w:tc>
          <w:tcPr>
            <w:tcW w:type="dxa" w:w="4100"/>
            <w:tcBorders>
              <w:top w:val="single" w:color="B0B7C3" w:sz="1"/>
              <w:left w:val="single" w:color="B0B7C3" w:sz="1"/>
              <w:bottom w:val="single" w:color="B0B7C3" w:sz="1"/>
              <w:right w:val="single" w:color="B0B7C3" w:sz="1"/>
            </w:tcBorders>
            <w:shd w:fill="F8FAFC" w:val="clear"/>
            <w:tcMar>
              <w:top w:type="dxa" w:w="60"/>
              <w:left w:type="dxa" w:w="120"/>
              <w:bottom w:type="dxa" w:w="60"/>
              <w:right w:type="dxa" w:w="120"/>
            </w:tcMar>
            <w:vAlign w:val="center"/>
          </w:tcPr>
          <w:p>
            <w:r>
              <w:rPr>
                <w:b w:val="false"/>
                <w:bCs w:val="false"/>
                <w:sz w:val="19"/>
                <w:szCs w:val="19"/>
              </w:rPr>
              <w:t xml:space="preserve">weights file, architecture, training run reference, promotion status (deployed / rejected / candidate)</w:t>
            </w:r>
          </w:p>
        </w:tc>
        <w:tc>
          <w:tcPr>
            <w:tcW w:type="dxa" w:w="3060"/>
            <w:tcBorders>
              <w:top w:val="single" w:color="B0B7C3" w:sz="1"/>
              <w:left w:val="single" w:color="B0B7C3" w:sz="1"/>
              <w:bottom w:val="single" w:color="B0B7C3" w:sz="1"/>
              <w:right w:val="single" w:color="B0B7C3" w:sz="1"/>
            </w:tcBorders>
            <w:shd w:fill="F8FAFC" w:val="clear"/>
            <w:tcMar>
              <w:top w:type="dxa" w:w="60"/>
              <w:left w:type="dxa" w:w="120"/>
              <w:bottom w:type="dxa" w:w="60"/>
              <w:right w:type="dxa" w:w="120"/>
            </w:tcMar>
            <w:vAlign w:val="center"/>
          </w:tcPr>
          <w:p>
            <w:r>
              <w:rPr>
                <w:b w:val="false"/>
                <w:bCs w:val="false"/>
                <w:sz w:val="19"/>
                <w:szCs w:val="19"/>
              </w:rPr>
              <w:t xml:space="preserve">Produced by exactly one Run; referenced by the deployed web application.</w:t>
            </w:r>
          </w:p>
        </w:tc>
      </w:tr>
    </w:tbl>
    <w:p>
      <w:pPr>
        <w:spacing w:after="200"/>
      </w:pPr>
    </w:p>
    <w:p>
      <w:pPr>
        <w:pStyle w:val="Heading2"/>
      </w:pPr>
      <w:r>
        <w:t xml:space="preserve">4.5 Web Application Sitemap</w:t>
      </w:r>
    </w:p>
    <w:p>
      <w:pPr>
        <w:spacing w:after="160"/>
        <w:jc w:val="both"/>
      </w:pPr>
      <w:r>
        <w:rPr>
          <w:b w:val="false"/>
          <w:bCs w:val="false"/>
          <w:i w:val="false"/>
          <w:iCs w:val="false"/>
        </w:rPr>
        <w:t xml:space="preserve">The deployed web application (Section 8.4) is a six-page single-page application. Figure 3 shows the sitemap actually implemented in web/index.html, not an aspirational design: Scan is the live pipeline demo with the numbered stepper; How it works explains the pipeline in plain language; Evidence links every displayed number back to a report in the repository; History lists recent scans; Limits documents measured weaknesses and their fixes (a direct surface for the Failures chapter); and About links to the project repository and the live deployment.</w:t>
      </w:r>
    </w:p>
    <w:p>
      <w:pPr>
        <w:spacing w:after="40" w:before="120"/>
        <w:jc w:val="center"/>
      </w:pPr>
      <w:r>
        <w:drawing>
          <wp:inline distT="0" distB="0" distL="0" distR="0">
            <wp:extent cx="5334000" cy="628650"/>
            <wp:effectExtent t="0" r="0" b="0" l="0"/>
            <wp:docPr id="1" name="Figure 3. Sitemap of the WasteWise web application." descr="Figure 3. Sitemap of the WasteWise web application." title="Figure 3. Sitemap of the WasteWise web 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628650"/>
                    </a:xfrm>
                    <a:prstGeom prst="rect">
                      <a:avLst/>
                    </a:prstGeom>
                  </pic:spPr>
                </pic:pic>
              </a:graphicData>
            </a:graphic>
          </wp:inline>
        </w:drawing>
      </w:r>
    </w:p>
    <w:p>
      <w:pPr>
        <w:spacing w:after="240" w:before="80"/>
        <w:jc w:val="center"/>
      </w:pPr>
      <w:r>
        <w:rPr>
          <w:i/>
          <w:iCs/>
          <w:sz w:val="20"/>
          <w:szCs w:val="20"/>
        </w:rPr>
        <w:t xml:space="preserve">Figure 3. Sitemap of the WasteWise web application.</w:t>
      </w:r>
    </w:p>
    <w:p>
      <w:r>
        <w:br w:type="page"/>
      </w:r>
    </w:p>
    <w:p>
      <w:pPr>
        <w:pStyle w:val="Heading1"/>
      </w:pPr>
      <w:r>
        <w:t xml:space="preserve">5. Software Development Methodology</w:t>
      </w:r>
    </w:p>
    <w:p>
      <w:pPr>
        <w:pStyle w:val="Heading2"/>
      </w:pPr>
      <w:r>
        <w:t xml:space="preserve">5.1 Candidate Methodologies</w:t>
      </w:r>
    </w:p>
    <w:p>
      <w:pPr>
        <w:spacing w:after="160"/>
        <w:jc w:val="both"/>
      </w:pPr>
      <w:r>
        <w:rPr>
          <w:b w:val="false"/>
          <w:bCs w:val="false"/>
          <w:i w:val="false"/>
          <w:iCs w:val="false"/>
        </w:rPr>
        <w:t xml:space="preserve">Four general software-delivery methodologies were considered against this project's needs before settling on a working 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tblHeader/>
        </w:trPr>
        <w:tc>
          <w:tcPr>
            <w:tcW w:type="dxa" w:w="3300"/>
            <w:tcBorders>
              <w:top w:val="single" w:color="B0B7C3" w:sz="1"/>
              <w:left w:val="single" w:color="B0B7C3" w:sz="1"/>
              <w:bottom w:val="single" w:color="B0B7C3" w:sz="1"/>
              <w:right w:val="single" w:color="B0B7C3" w:sz="1"/>
            </w:tcBorders>
            <w:shd w:fill="1F2937" w:val="clear"/>
            <w:tcMar>
              <w:top w:type="dxa" w:w="80"/>
              <w:left w:type="dxa" w:w="120"/>
              <w:bottom w:type="dxa" w:w="80"/>
              <w:right w:type="dxa" w:w="120"/>
            </w:tcMar>
            <w:vAlign w:val="center"/>
          </w:tcPr>
          <w:p>
            <w:r>
              <w:rPr>
                <w:b/>
                <w:bCs/>
                <w:color w:val="FFFFFF"/>
                <w:sz w:val="19"/>
                <w:szCs w:val="19"/>
              </w:rPr>
              <w:t xml:space="preserve">Methodology</w:t>
            </w:r>
          </w:p>
        </w:tc>
        <w:tc>
          <w:tcPr>
            <w:tcW w:type="dxa" w:w="6060"/>
            <w:tcBorders>
              <w:top w:val="single" w:color="B0B7C3" w:sz="1"/>
              <w:left w:val="single" w:color="B0B7C3" w:sz="1"/>
              <w:bottom w:val="single" w:color="B0B7C3" w:sz="1"/>
              <w:right w:val="single" w:color="B0B7C3" w:sz="1"/>
            </w:tcBorders>
            <w:shd w:fill="1F2937" w:val="clear"/>
            <w:tcMar>
              <w:top w:type="dxa" w:w="80"/>
              <w:left w:type="dxa" w:w="120"/>
              <w:bottom w:type="dxa" w:w="80"/>
              <w:right w:type="dxa" w:w="120"/>
            </w:tcMar>
            <w:vAlign w:val="center"/>
          </w:tcPr>
          <w:p>
            <w:r>
              <w:rPr>
                <w:b/>
                <w:bCs/>
                <w:color w:val="FFFFFF"/>
                <w:sz w:val="19"/>
                <w:szCs w:val="19"/>
              </w:rPr>
              <w:t xml:space="preserve">Fit for an experiment-driven ML project</w:t>
            </w:r>
          </w:p>
        </w:tc>
      </w:tr>
      <w:tr>
        <w:tc>
          <w:tcPr>
            <w:tcW w:type="dxa" w:w="3300"/>
            <w:tcBorders>
              <w:top w:val="single" w:color="B0B7C3" w:sz="1"/>
              <w:left w:val="single" w:color="B0B7C3" w:sz="1"/>
              <w:bottom w:val="single" w:color="B0B7C3" w:sz="1"/>
              <w:right w:val="single" w:color="B0B7C3" w:sz="1"/>
            </w:tcBorders>
            <w:shd w:fill="F8FAFC" w:val="clear"/>
            <w:tcMar>
              <w:top w:type="dxa" w:w="60"/>
              <w:left w:type="dxa" w:w="120"/>
              <w:bottom w:type="dxa" w:w="60"/>
              <w:right w:type="dxa" w:w="120"/>
            </w:tcMar>
            <w:vAlign w:val="center"/>
          </w:tcPr>
          <w:p>
            <w:r>
              <w:rPr>
                <w:b w:val="false"/>
                <w:bCs w:val="false"/>
                <w:sz w:val="19"/>
                <w:szCs w:val="19"/>
              </w:rPr>
              <w:t xml:space="preserve">Waterfall</w:t>
            </w:r>
          </w:p>
        </w:tc>
        <w:tc>
          <w:tcPr>
            <w:tcW w:type="dxa" w:w="6060"/>
            <w:tcBorders>
              <w:top w:val="single" w:color="B0B7C3" w:sz="1"/>
              <w:left w:val="single" w:color="B0B7C3" w:sz="1"/>
              <w:bottom w:val="single" w:color="B0B7C3" w:sz="1"/>
              <w:right w:val="single" w:color="B0B7C3" w:sz="1"/>
            </w:tcBorders>
            <w:shd w:fill="F8FAFC" w:val="clear"/>
            <w:tcMar>
              <w:top w:type="dxa" w:w="60"/>
              <w:left w:type="dxa" w:w="120"/>
              <w:bottom w:type="dxa" w:w="60"/>
              <w:right w:type="dxa" w:w="120"/>
            </w:tcMar>
            <w:vAlign w:val="center"/>
          </w:tcPr>
          <w:p>
            <w:r>
              <w:rPr>
                <w:b w:val="false"/>
                <w:bCs w:val="false"/>
                <w:sz w:val="19"/>
                <w:szCs w:val="19"/>
              </w:rPr>
              <w:t xml:space="preserve">Poor fit: assumes requirements and design are fixed up front, but the correct pipeline architecture (classification-first vs. localisation-first) was only known after running both and measuring them.</w:t>
            </w:r>
          </w:p>
        </w:tc>
      </w:tr>
      <w:tr>
        <w:tc>
          <w:tcPr>
            <w:tcW w:type="dxa" w:w="3300"/>
            <w:tcBorders>
              <w:top w:val="single" w:color="B0B7C3" w:sz="1"/>
              <w:left w:val="single" w:color="B0B7C3" w:sz="1"/>
              <w:bottom w:val="single" w:color="B0B7C3" w:sz="1"/>
              <w:right w:val="single" w:color="B0B7C3" w:sz="1"/>
            </w:tcBorders>
            <w:shd w:fill="FFFFFF" w:val="clear"/>
            <w:tcMar>
              <w:top w:type="dxa" w:w="60"/>
              <w:left w:type="dxa" w:w="120"/>
              <w:bottom w:type="dxa" w:w="60"/>
              <w:right w:type="dxa" w:w="120"/>
            </w:tcMar>
            <w:vAlign w:val="center"/>
          </w:tcPr>
          <w:p>
            <w:r>
              <w:rPr>
                <w:b w:val="false"/>
                <w:bCs w:val="false"/>
                <w:sz w:val="19"/>
                <w:szCs w:val="19"/>
              </w:rPr>
              <w:t xml:space="preserve">Spiral</w:t>
            </w:r>
          </w:p>
        </w:tc>
        <w:tc>
          <w:tcPr>
            <w:tcW w:type="dxa" w:w="6060"/>
            <w:tcBorders>
              <w:top w:val="single" w:color="B0B7C3" w:sz="1"/>
              <w:left w:val="single" w:color="B0B7C3" w:sz="1"/>
              <w:bottom w:val="single" w:color="B0B7C3" w:sz="1"/>
              <w:right w:val="single" w:color="B0B7C3" w:sz="1"/>
            </w:tcBorders>
            <w:shd w:fill="FFFFFF" w:val="clear"/>
            <w:tcMar>
              <w:top w:type="dxa" w:w="60"/>
              <w:left w:type="dxa" w:w="120"/>
              <w:bottom w:type="dxa" w:w="60"/>
              <w:right w:type="dxa" w:w="120"/>
            </w:tcMar>
            <w:vAlign w:val="center"/>
          </w:tcPr>
          <w:p>
            <w:r>
              <w:rPr>
                <w:b w:val="false"/>
                <w:bCs w:val="false"/>
                <w:sz w:val="19"/>
                <w:szCs w:val="19"/>
              </w:rPr>
              <w:t xml:space="preserve">Partial fit: its risk-driven, iterative rings resemble the project's repeated audit-then-fix cycles, but the model is heavier than needed for a single-developer FYP.</w:t>
            </w:r>
          </w:p>
        </w:tc>
      </w:tr>
      <w:tr>
        <w:tc>
          <w:tcPr>
            <w:tcW w:type="dxa" w:w="3300"/>
            <w:tcBorders>
              <w:top w:val="single" w:color="B0B7C3" w:sz="1"/>
              <w:left w:val="single" w:color="B0B7C3" w:sz="1"/>
              <w:bottom w:val="single" w:color="B0B7C3" w:sz="1"/>
              <w:right w:val="single" w:color="B0B7C3" w:sz="1"/>
            </w:tcBorders>
            <w:shd w:fill="F8FAFC" w:val="clear"/>
            <w:tcMar>
              <w:top w:type="dxa" w:w="60"/>
              <w:left w:type="dxa" w:w="120"/>
              <w:bottom w:type="dxa" w:w="60"/>
              <w:right w:type="dxa" w:w="120"/>
            </w:tcMar>
            <w:vAlign w:val="center"/>
          </w:tcPr>
          <w:p>
            <w:r>
              <w:rPr>
                <w:b w:val="false"/>
                <w:bCs w:val="false"/>
                <w:sz w:val="19"/>
                <w:szCs w:val="19"/>
              </w:rPr>
              <w:t xml:space="preserve">Rapid Application Development / Prototyping</w:t>
            </w:r>
          </w:p>
        </w:tc>
        <w:tc>
          <w:tcPr>
            <w:tcW w:type="dxa" w:w="6060"/>
            <w:tcBorders>
              <w:top w:val="single" w:color="B0B7C3" w:sz="1"/>
              <w:left w:val="single" w:color="B0B7C3" w:sz="1"/>
              <w:bottom w:val="single" w:color="B0B7C3" w:sz="1"/>
              <w:right w:val="single" w:color="B0B7C3" w:sz="1"/>
            </w:tcBorders>
            <w:shd w:fill="F8FAFC" w:val="clear"/>
            <w:tcMar>
              <w:top w:type="dxa" w:w="60"/>
              <w:left w:type="dxa" w:w="120"/>
              <w:bottom w:type="dxa" w:w="60"/>
              <w:right w:type="dxa" w:w="120"/>
            </w:tcMar>
            <w:vAlign w:val="center"/>
          </w:tcPr>
          <w:p>
            <w:r>
              <w:rPr>
                <w:b w:val="false"/>
                <w:bCs w:val="false"/>
                <w:sz w:val="19"/>
                <w:szCs w:val="19"/>
              </w:rPr>
              <w:t xml:space="preserve">Good fit for the web GUI (six-page rework iterated quickly against lecturer feedback) but does not on its own capture the need for statistically defensible evaluation between iterations.</w:t>
            </w:r>
          </w:p>
        </w:tc>
      </w:tr>
      <w:tr>
        <w:tc>
          <w:tcPr>
            <w:tcW w:type="dxa" w:w="3300"/>
            <w:tcBorders>
              <w:top w:val="single" w:color="B0B7C3" w:sz="1"/>
              <w:left w:val="single" w:color="B0B7C3" w:sz="1"/>
              <w:bottom w:val="single" w:color="B0B7C3" w:sz="1"/>
              <w:right w:val="single" w:color="B0B7C3" w:sz="1"/>
            </w:tcBorders>
            <w:shd w:fill="FFFFFF" w:val="clear"/>
            <w:tcMar>
              <w:top w:type="dxa" w:w="60"/>
              <w:left w:type="dxa" w:w="120"/>
              <w:bottom w:type="dxa" w:w="60"/>
              <w:right w:type="dxa" w:w="120"/>
            </w:tcMar>
            <w:vAlign w:val="center"/>
          </w:tcPr>
          <w:p>
            <w:r>
              <w:rPr>
                <w:b w:val="false"/>
                <w:bCs w:val="false"/>
                <w:sz w:val="19"/>
                <w:szCs w:val="19"/>
              </w:rPr>
              <w:t xml:space="preserve">Agile (iterative, short cycles)</w:t>
            </w:r>
          </w:p>
        </w:tc>
        <w:tc>
          <w:tcPr>
            <w:tcW w:type="dxa" w:w="6060"/>
            <w:tcBorders>
              <w:top w:val="single" w:color="B0B7C3" w:sz="1"/>
              <w:left w:val="single" w:color="B0B7C3" w:sz="1"/>
              <w:bottom w:val="single" w:color="B0B7C3" w:sz="1"/>
              <w:right w:val="single" w:color="B0B7C3" w:sz="1"/>
            </w:tcBorders>
            <w:shd w:fill="FFFFFF" w:val="clear"/>
            <w:tcMar>
              <w:top w:type="dxa" w:w="60"/>
              <w:left w:type="dxa" w:w="120"/>
              <w:bottom w:type="dxa" w:w="60"/>
              <w:right w:type="dxa" w:w="120"/>
            </w:tcMar>
            <w:vAlign w:val="center"/>
          </w:tcPr>
          <w:p>
            <w:r>
              <w:rPr>
                <w:b w:val="false"/>
                <w:bCs w:val="false"/>
                <w:sz w:val="19"/>
                <w:szCs w:val="19"/>
              </w:rPr>
              <w:t xml:space="preserve">Good fit for the engineering cadence, but standard Agile does not by itself specify how a machine-learning change is 'accepted' into the product.</w:t>
            </w:r>
          </w:p>
        </w:tc>
      </w:tr>
    </w:tbl>
    <w:p>
      <w:pPr>
        <w:spacing w:after="200"/>
      </w:pPr>
    </w:p>
    <w:p>
      <w:pPr>
        <w:pStyle w:val="Heading2"/>
      </w:pPr>
      <w:r>
        <w:t xml:space="preserve">5.2 Selected Methodology and Justification</w:t>
      </w:r>
    </w:p>
    <w:p>
      <w:pPr>
        <w:spacing w:after="160"/>
        <w:jc w:val="both"/>
      </w:pPr>
      <w:r>
        <w:rPr>
          <w:b w:val="false"/>
          <w:bCs w:val="false"/>
          <w:i w:val="false"/>
          <w:iCs w:val="false"/>
        </w:rPr>
        <w:t xml:space="preserve">WasteWise follows an Agile, short-iteration cadence for engineering (Section 1.4's phases were themselves delivered in roughly week-long cycles) combined with an explicit, CRISP-DM-style data-mining discipline (business understanding, data understanding, data preparation, modelling, evaluation, deployment) and, most importantly, a project-specific promotion gate borrowed from continuous-delivery practice: no dataset change, model fine-tune, or serving-configuration change is treated as final until it has been (a) evaluated on a held-out, leakage-checked split and (b) shown not to regress a previously-passing metric beyond a small, pre-registered tolerance. This gate is what actually decided most of the architecture and hyperparameter choices in this report - for example, three separate proposed improvements (a tiled-training retrain, a field-rebalance fine-tune, and a class-agnostic detector head) were built, evaluated against this gate, and rejected in Section 9, while three others (hard-negative mining, a detector confidence retune, and a fusion-weight cap) passed it and were deployed. This hybrid was chosen over plain Agile or plain Waterfall specifically because the project's biggest risks were empirical (does this idea actually generalise) rather than purely schedule risks, so the methodology had to make 'evaluate before you trust it' a first-class step rather than an afterthought.</w:t>
      </w:r>
    </w:p>
    <w:p>
      <w:pPr>
        <w:pStyle w:val="Heading1"/>
      </w:pPr>
      <w:r>
        <w:t xml:space="preserve">6. Datasets: Acquisition, Auditing, and Rebuilds</w:t>
      </w:r>
    </w:p>
    <w:p>
      <w:pPr>
        <w:pStyle w:val="Heading2"/>
      </w:pPr>
      <w:r>
        <w:t xml:space="preserve">6.1 Raw Sources</w:t>
      </w:r>
    </w:p>
    <w:p>
      <w:pPr>
        <w:pStyle w:val="ListParagraph"/>
        <w:numPr>
          <w:ilvl w:val="0"/>
          <w:numId w:val="3"/>
        </w:numPr>
        <w:spacing w:after="80"/>
      </w:pPr>
      <w:r>
        <w:t xml:space="preserve">TACO - Trash Annotations in Context (Proenca and Simoes, 2020): crowdsourced, real-world litter photographs with instance segmentation across dozens of fine-grained litter classes; the main source of realistic field imagery and of the source-isolated clean field evaluation split used in Section 8.</w:t>
      </w:r>
    </w:p>
    <w:p>
      <w:pPr>
        <w:pStyle w:val="ListParagraph"/>
        <w:numPr>
          <w:ilvl w:val="0"/>
          <w:numId w:val="3"/>
        </w:numPr>
        <w:spacing w:after="80"/>
      </w:pPr>
      <w:r>
        <w:t xml:space="preserve">TrashNet (Yang and Thung, 2016): 2,527 single-object, studio-lit images across six categories; used as a classical-ML comparison domain (Section 7) to quantify the studio-to-field generalisation gap.</w:t>
      </w:r>
    </w:p>
    <w:p>
      <w:pPr>
        <w:pStyle w:val="ListParagraph"/>
        <w:numPr>
          <w:ilvl w:val="0"/>
          <w:numId w:val="3"/>
        </w:numPr>
        <w:spacing w:after="80"/>
      </w:pPr>
      <w:r>
        <w:t xml:space="preserve">PlastOPol (Roboflow Universe export; companion system paper, Environmental Modelling &amp; Software, 2023): 2,418 one-class (litter) real-world images collected via a citizen-science mobile app; added later in the project specifically to expand field-domain training data (Section 9, Failures F11-F15).</w:t>
      </w:r>
    </w:p>
    <w:p>
      <w:pPr>
        <w:pStyle w:val="ListParagraph"/>
        <w:numPr>
          <w:ilvl w:val="0"/>
          <w:numId w:val="3"/>
        </w:numPr>
        <w:spacing w:after="80"/>
      </w:pPr>
      <w:r>
        <w:t xml:space="preserve">Multiple Roboflow community re-exports and merges of the above, which is precisely what caused the cross-split leakage problem documented in Section 6.4: the same underlying photographs re-enter the project through differently-named community exports.</w:t>
      </w:r>
    </w:p>
    <w:p>
      <w:pPr>
        <w:pStyle w:val="Heading2"/>
      </w:pPr>
      <w:r>
        <w:t xml:space="preserve">6.2 Dataset Generations</w:t>
      </w:r>
    </w:p>
    <w:p>
      <w:pPr>
        <w:spacing w:after="160"/>
        <w:jc w:val="both"/>
      </w:pPr>
      <w:r>
        <w:rPr>
          <w:b w:val="false"/>
          <w:bCs w:val="false"/>
          <w:i w:val="false"/>
          <w:iCs w:val="false"/>
        </w:rPr>
        <w:t xml:space="preserve">Datasets were rebuilt three times over the project as quality problems were found, rather than patched in place, so that every generation is independently auditable.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000"/>
        <w:gridCol w:w="2160"/>
      </w:tblGrid>
      <w:tr>
        <w:trPr>
          <w:tblHeader/>
        </w:trPr>
        <w:tc>
          <w:tcPr>
            <w:tcW w:type="dxa" w:w="2200"/>
            <w:tcBorders>
              <w:top w:val="single" w:color="B0B7C3" w:sz="1"/>
              <w:left w:val="single" w:color="B0B7C3" w:sz="1"/>
              <w:bottom w:val="single" w:color="B0B7C3" w:sz="1"/>
              <w:right w:val="single" w:color="B0B7C3" w:sz="1"/>
            </w:tcBorders>
            <w:shd w:fill="1F2937" w:val="clear"/>
            <w:tcMar>
              <w:top w:type="dxa" w:w="80"/>
              <w:left w:type="dxa" w:w="120"/>
              <w:bottom w:type="dxa" w:w="80"/>
              <w:right w:type="dxa" w:w="120"/>
            </w:tcMar>
            <w:vAlign w:val="center"/>
          </w:tcPr>
          <w:p>
            <w:r>
              <w:rPr>
                <w:b/>
                <w:bCs/>
                <w:color w:val="FFFFFF"/>
                <w:sz w:val="19"/>
                <w:szCs w:val="19"/>
              </w:rPr>
              <w:t xml:space="preserve">Generation</w:t>
            </w:r>
          </w:p>
        </w:tc>
        <w:tc>
          <w:tcPr>
            <w:tcW w:type="dxa" w:w="5000"/>
            <w:tcBorders>
              <w:top w:val="single" w:color="B0B7C3" w:sz="1"/>
              <w:left w:val="single" w:color="B0B7C3" w:sz="1"/>
              <w:bottom w:val="single" w:color="B0B7C3" w:sz="1"/>
              <w:right w:val="single" w:color="B0B7C3" w:sz="1"/>
            </w:tcBorders>
            <w:shd w:fill="1F2937" w:val="clear"/>
            <w:tcMar>
              <w:top w:type="dxa" w:w="80"/>
              <w:left w:type="dxa" w:w="120"/>
              <w:bottom w:type="dxa" w:w="80"/>
              <w:right w:type="dxa" w:w="120"/>
            </w:tcMar>
            <w:vAlign w:val="center"/>
          </w:tcPr>
          <w:p>
            <w:r>
              <w:rPr>
                <w:b/>
                <w:bCs/>
                <w:color w:val="FFFFFF"/>
                <w:sz w:val="19"/>
                <w:szCs w:val="19"/>
              </w:rPr>
              <w:t xml:space="preserve">Representative dataset</w:t>
            </w:r>
          </w:p>
        </w:tc>
        <w:tc>
          <w:tcPr>
            <w:tcW w:type="dxa" w:w="2160"/>
            <w:tcBorders>
              <w:top w:val="single" w:color="B0B7C3" w:sz="1"/>
              <w:left w:val="single" w:color="B0B7C3" w:sz="1"/>
              <w:bottom w:val="single" w:color="B0B7C3" w:sz="1"/>
              <w:right w:val="single" w:color="B0B7C3" w:sz="1"/>
            </w:tcBorders>
            <w:shd w:fill="1F2937" w:val="clear"/>
            <w:tcMar>
              <w:top w:type="dxa" w:w="80"/>
              <w:left w:type="dxa" w:w="120"/>
              <w:bottom w:type="dxa" w:w="80"/>
              <w:right w:type="dxa" w:w="120"/>
            </w:tcMar>
            <w:vAlign w:val="center"/>
          </w:tcPr>
          <w:p>
            <w:r>
              <w:rPr>
                <w:b/>
                <w:bCs/>
                <w:color w:val="FFFFFF"/>
                <w:sz w:val="19"/>
                <w:szCs w:val="19"/>
              </w:rPr>
              <w:t xml:space="preserve">Status</w:t>
            </w:r>
          </w:p>
        </w:tc>
      </w:tr>
      <w:tr>
        <w:tc>
          <w:tcPr>
            <w:tcW w:type="dxa" w:w="2200"/>
            <w:tcBorders>
              <w:top w:val="single" w:color="B0B7C3" w:sz="1"/>
              <w:left w:val="single" w:color="B0B7C3" w:sz="1"/>
              <w:bottom w:val="single" w:color="B0B7C3" w:sz="1"/>
              <w:right w:val="single" w:color="B0B7C3" w:sz="1"/>
            </w:tcBorders>
            <w:shd w:fill="F8FAFC" w:val="clear"/>
            <w:tcMar>
              <w:top w:type="dxa" w:w="60"/>
              <w:left w:type="dxa" w:w="120"/>
              <w:bottom w:type="dxa" w:w="60"/>
              <w:right w:type="dxa" w:w="120"/>
            </w:tcMar>
            <w:vAlign w:val="center"/>
          </w:tcPr>
          <w:p>
            <w:r>
              <w:rPr>
                <w:b w:val="false"/>
                <w:bCs w:val="false"/>
                <w:sz w:val="19"/>
                <w:szCs w:val="19"/>
              </w:rPr>
              <w:t xml:space="preserve">Generation 1</w:t>
            </w:r>
          </w:p>
        </w:tc>
        <w:tc>
          <w:tcPr>
            <w:tcW w:type="dxa" w:w="5000"/>
            <w:tcBorders>
              <w:top w:val="single" w:color="B0B7C3" w:sz="1"/>
              <w:left w:val="single" w:color="B0B7C3" w:sz="1"/>
              <w:bottom w:val="single" w:color="B0B7C3" w:sz="1"/>
              <w:right w:val="single" w:color="B0B7C3" w:sz="1"/>
            </w:tcBorders>
            <w:shd w:fill="F8FAFC" w:val="clear"/>
            <w:tcMar>
              <w:top w:type="dxa" w:w="60"/>
              <w:left w:type="dxa" w:w="120"/>
              <w:bottom w:type="dxa" w:w="60"/>
              <w:right w:type="dxa" w:w="120"/>
            </w:tcMar>
            <w:vAlign w:val="center"/>
          </w:tcPr>
          <w:p>
            <w:r>
              <w:rPr>
                <w:b w:val="false"/>
                <w:bCs w:val="false"/>
                <w:sz w:val="19"/>
                <w:szCs w:val="19"/>
              </w:rPr>
              <w:t xml:space="preserve">merged_dataset_v3 (114,220 boxes, first Roboflow merge)</w:t>
            </w:r>
          </w:p>
        </w:tc>
        <w:tc>
          <w:tcPr>
            <w:tcW w:type="dxa" w:w="2160"/>
            <w:tcBorders>
              <w:top w:val="single" w:color="B0B7C3" w:sz="1"/>
              <w:left w:val="single" w:color="B0B7C3" w:sz="1"/>
              <w:bottom w:val="single" w:color="B0B7C3" w:sz="1"/>
              <w:right w:val="single" w:color="B0B7C3" w:sz="1"/>
            </w:tcBorders>
            <w:shd w:fill="F8FAFC" w:val="clear"/>
            <w:tcMar>
              <w:top w:type="dxa" w:w="60"/>
              <w:left w:type="dxa" w:w="120"/>
              <w:bottom w:type="dxa" w:w="60"/>
              <w:right w:type="dxa" w:w="120"/>
            </w:tcMar>
            <w:vAlign w:val="center"/>
          </w:tcPr>
          <w:p>
            <w:r>
              <w:rPr>
                <w:b w:val="false"/>
                <w:bCs w:val="false"/>
                <w:sz w:val="19"/>
                <w:szCs w:val="19"/>
              </w:rPr>
              <w:t xml:space="preserve">Superseded; kept only as historical/lecturer-evidence context.</w:t>
            </w:r>
          </w:p>
        </w:tc>
      </w:tr>
      <w:tr>
        <w:tc>
          <w:tcPr>
            <w:tcW w:type="dxa" w:w="2200"/>
            <w:tcBorders>
              <w:top w:val="single" w:color="B0B7C3" w:sz="1"/>
              <w:left w:val="single" w:color="B0B7C3" w:sz="1"/>
              <w:bottom w:val="single" w:color="B0B7C3" w:sz="1"/>
              <w:right w:val="single" w:color="B0B7C3" w:sz="1"/>
            </w:tcBorders>
            <w:shd w:fill="FFFFFF" w:val="clear"/>
            <w:tcMar>
              <w:top w:type="dxa" w:w="60"/>
              <w:left w:type="dxa" w:w="120"/>
              <w:bottom w:type="dxa" w:w="60"/>
              <w:right w:type="dxa" w:w="120"/>
            </w:tcMar>
            <w:vAlign w:val="center"/>
          </w:tcPr>
          <w:p>
            <w:r>
              <w:rPr>
                <w:b w:val="false"/>
                <w:bCs w:val="false"/>
                <w:sz w:val="19"/>
                <w:szCs w:val="19"/>
              </w:rPr>
              <w:t xml:space="preserve">Generation 2</w:t>
            </w:r>
          </w:p>
        </w:tc>
        <w:tc>
          <w:tcPr>
            <w:tcW w:type="dxa" w:w="5000"/>
            <w:tcBorders>
              <w:top w:val="single" w:color="B0B7C3" w:sz="1"/>
              <w:left w:val="single" w:color="B0B7C3" w:sz="1"/>
              <w:bottom w:val="single" w:color="B0B7C3" w:sz="1"/>
              <w:right w:val="single" w:color="B0B7C3" w:sz="1"/>
            </w:tcBorders>
            <w:shd w:fill="FFFFFF" w:val="clear"/>
            <w:tcMar>
              <w:top w:type="dxa" w:w="60"/>
              <w:left w:type="dxa" w:w="120"/>
              <w:bottom w:type="dxa" w:w="60"/>
              <w:right w:type="dxa" w:w="120"/>
            </w:tcMar>
            <w:vAlign w:val="center"/>
          </w:tcPr>
          <w:p>
            <w:r>
              <w:rPr>
                <w:b w:val="false"/>
                <w:bCs w:val="false"/>
                <w:sz w:val="19"/>
                <w:szCs w:val="19"/>
              </w:rPr>
              <w:t xml:space="preserve">tuned_dataset_v1 (evidence-based cleaning pass)</w:t>
            </w:r>
          </w:p>
        </w:tc>
        <w:tc>
          <w:tcPr>
            <w:tcW w:type="dxa" w:w="2160"/>
            <w:tcBorders>
              <w:top w:val="single" w:color="B0B7C3" w:sz="1"/>
              <w:left w:val="single" w:color="B0B7C3" w:sz="1"/>
              <w:bottom w:val="single" w:color="B0B7C3" w:sz="1"/>
              <w:right w:val="single" w:color="B0B7C3" w:sz="1"/>
            </w:tcBorders>
            <w:shd w:fill="FFFFFF" w:val="clear"/>
            <w:tcMar>
              <w:top w:type="dxa" w:w="60"/>
              <w:left w:type="dxa" w:w="120"/>
              <w:bottom w:type="dxa" w:w="60"/>
              <w:right w:type="dxa" w:w="120"/>
            </w:tcMar>
            <w:vAlign w:val="center"/>
          </w:tcPr>
          <w:p>
            <w:r>
              <w:rPr>
                <w:b w:val="false"/>
                <w:bCs w:val="false"/>
                <w:sz w:val="19"/>
                <w:szCs w:val="19"/>
              </w:rPr>
              <w:t xml:space="preserve">Superseded; EDA charts in Section 6.3 are drawn from this generation.</w:t>
            </w:r>
          </w:p>
        </w:tc>
      </w:tr>
      <w:tr>
        <w:tc>
          <w:tcPr>
            <w:tcW w:type="dxa" w:w="2200"/>
            <w:tcBorders>
              <w:top w:val="single" w:color="B0B7C3" w:sz="1"/>
              <w:left w:val="single" w:color="B0B7C3" w:sz="1"/>
              <w:bottom w:val="single" w:color="B0B7C3" w:sz="1"/>
              <w:right w:val="single" w:color="B0B7C3" w:sz="1"/>
            </w:tcBorders>
            <w:shd w:fill="F8FAFC" w:val="clear"/>
            <w:tcMar>
              <w:top w:type="dxa" w:w="60"/>
              <w:left w:type="dxa" w:w="120"/>
              <w:bottom w:type="dxa" w:w="60"/>
              <w:right w:type="dxa" w:w="120"/>
            </w:tcMar>
            <w:vAlign w:val="center"/>
          </w:tcPr>
          <w:p>
            <w:r>
              <w:rPr>
                <w:b w:val="false"/>
                <w:bCs w:val="false"/>
                <w:sz w:val="19"/>
                <w:szCs w:val="19"/>
              </w:rPr>
              <w:t xml:space="preserve">Generation 3 (active)</w:t>
            </w:r>
          </w:p>
        </w:tc>
        <w:tc>
          <w:tcPr>
            <w:tcW w:type="dxa" w:w="5000"/>
            <w:tcBorders>
              <w:top w:val="single" w:color="B0B7C3" w:sz="1"/>
              <w:left w:val="single" w:color="B0B7C3" w:sz="1"/>
              <w:bottom w:val="single" w:color="B0B7C3" w:sz="1"/>
              <w:right w:val="single" w:color="B0B7C3" w:sz="1"/>
            </w:tcBorders>
            <w:shd w:fill="F8FAFC" w:val="clear"/>
            <w:tcMar>
              <w:top w:type="dxa" w:w="60"/>
              <w:left w:type="dxa" w:w="120"/>
              <w:bottom w:type="dxa" w:w="60"/>
              <w:right w:type="dxa" w:w="120"/>
            </w:tcMar>
            <w:vAlign w:val="center"/>
          </w:tcPr>
          <w:p>
            <w:r>
              <w:rPr>
                <w:b w:val="false"/>
                <w:bCs w:val="false"/>
                <w:sz w:val="19"/>
                <w:szCs w:val="19"/>
              </w:rPr>
              <w:t xml:space="preserve">external_datasets/super_yolo_dataset (23,929 images / 102,777 boxes, 6 classes); data/merged_dataset_v5 (29,639 crops, 7 classes incl. Background)</w:t>
            </w:r>
          </w:p>
        </w:tc>
        <w:tc>
          <w:tcPr>
            <w:tcW w:type="dxa" w:w="2160"/>
            <w:tcBorders>
              <w:top w:val="single" w:color="B0B7C3" w:sz="1"/>
              <w:left w:val="single" w:color="B0B7C3" w:sz="1"/>
              <w:bottom w:val="single" w:color="B0B7C3" w:sz="1"/>
              <w:right w:val="single" w:color="B0B7C3" w:sz="1"/>
            </w:tcBorders>
            <w:shd w:fill="F8FAFC" w:val="clear"/>
            <w:tcMar>
              <w:top w:type="dxa" w:w="60"/>
              <w:left w:type="dxa" w:w="120"/>
              <w:bottom w:type="dxa" w:w="60"/>
              <w:right w:type="dxa" w:w="120"/>
            </w:tcMar>
            <w:vAlign w:val="center"/>
          </w:tcPr>
          <w:p>
            <w:r>
              <w:rPr>
                <w:b w:val="false"/>
                <w:bCs w:val="false"/>
                <w:sz w:val="19"/>
                <w:szCs w:val="19"/>
              </w:rPr>
              <w:t xml:space="preserve">Current training source, prior to the leakage-audit clean-split correction in Section 6.4.</w:t>
            </w:r>
          </w:p>
        </w:tc>
      </w:tr>
      <w:tr>
        <w:tc>
          <w:tcPr>
            <w:tcW w:type="dxa" w:w="2200"/>
            <w:tcBorders>
              <w:top w:val="single" w:color="B0B7C3" w:sz="1"/>
              <w:left w:val="single" w:color="B0B7C3" w:sz="1"/>
              <w:bottom w:val="single" w:color="B0B7C3" w:sz="1"/>
              <w:right w:val="single" w:color="B0B7C3" w:sz="1"/>
            </w:tcBorders>
            <w:shd w:fill="FFFFFF" w:val="clear"/>
            <w:tcMar>
              <w:top w:type="dxa" w:w="60"/>
              <w:left w:type="dxa" w:w="120"/>
              <w:bottom w:type="dxa" w:w="60"/>
              <w:right w:type="dxa" w:w="120"/>
            </w:tcMar>
            <w:vAlign w:val="center"/>
          </w:tcPr>
          <w:p>
            <w:r>
              <w:rPr>
                <w:b w:val="false"/>
                <w:bCs w:val="false"/>
                <w:sz w:val="19"/>
                <w:szCs w:val="19"/>
              </w:rPr>
              <w:t xml:space="preserve">Hard-case generation (deployed)</w:t>
            </w:r>
          </w:p>
        </w:tc>
        <w:tc>
          <w:tcPr>
            <w:tcW w:type="dxa" w:w="5000"/>
            <w:tcBorders>
              <w:top w:val="single" w:color="B0B7C3" w:sz="1"/>
              <w:left w:val="single" w:color="B0B7C3" w:sz="1"/>
              <w:bottom w:val="single" w:color="B0B7C3" w:sz="1"/>
              <w:right w:val="single" w:color="B0B7C3" w:sz="1"/>
            </w:tcBorders>
            <w:shd w:fill="FFFFFF" w:val="clear"/>
            <w:tcMar>
              <w:top w:type="dxa" w:w="60"/>
              <w:left w:type="dxa" w:w="120"/>
              <w:bottom w:type="dxa" w:w="60"/>
              <w:right w:type="dxa" w:w="120"/>
            </w:tcMar>
            <w:vAlign w:val="center"/>
          </w:tcPr>
          <w:p>
            <w:r>
              <w:rPr>
                <w:b w:val="false"/>
                <w:bCs w:val="false"/>
                <w:sz w:val="19"/>
                <w:szCs w:val="19"/>
              </w:rPr>
              <w:t xml:space="preserve">external_datasets/yolo26_hardcase_dataset_v1; data/hard_case_classifier_v1</w:t>
            </w:r>
          </w:p>
        </w:tc>
        <w:tc>
          <w:tcPr>
            <w:tcW w:type="dxa" w:w="2160"/>
            <w:tcBorders>
              <w:top w:val="single" w:color="B0B7C3" w:sz="1"/>
              <w:left w:val="single" w:color="B0B7C3" w:sz="1"/>
              <w:bottom w:val="single" w:color="B0B7C3" w:sz="1"/>
              <w:right w:val="single" w:color="B0B7C3" w:sz="1"/>
            </w:tcBorders>
            <w:shd w:fill="FFFFFF" w:val="clear"/>
            <w:tcMar>
              <w:top w:type="dxa" w:w="60"/>
              <w:left w:type="dxa" w:w="120"/>
              <w:bottom w:type="dxa" w:w="60"/>
              <w:right w:type="dxa" w:w="120"/>
            </w:tcMar>
            <w:vAlign w:val="center"/>
          </w:tcPr>
          <w:p>
            <w:r>
              <w:rPr>
                <w:b w:val="false"/>
                <w:bCs w:val="false"/>
                <w:sz w:val="19"/>
                <w:szCs w:val="19"/>
              </w:rPr>
              <w:t xml:space="preserve">Current deployed-model training and clean-eval source (Section 6.4 and Section 8).</w:t>
            </w:r>
          </w:p>
        </w:tc>
      </w:tr>
    </w:tbl>
    <w:p>
      <w:pPr>
        <w:spacing w:after="200"/>
      </w:pPr>
    </w:p>
    <w:p>
      <w:pPr>
        <w:pStyle w:val="Heading2"/>
      </w:pPr>
      <w:r>
        <w:t xml:space="preserve">6.3 Exploratory Data Analysis</w:t>
      </w:r>
    </w:p>
    <w:p>
      <w:pPr>
        <w:spacing w:after="160"/>
        <w:jc w:val="both"/>
      </w:pPr>
      <w:r>
        <w:rPr>
          <w:b w:val="false"/>
          <w:bCs w:val="false"/>
          <w:i w:val="false"/>
          <w:iCs w:val="false"/>
        </w:rPr>
        <w:t xml:space="preserve">Figure 4 shows the per-class object-count balance for the tuned_dataset_v1 generation. The dataset is imbalanced by construction, because it is a merge of multiple community sources with different per-class prevalence; Branch A (Section 7.2) corrects for this at the crop-sampling stage with a per-class cap rather than by discarding the imbalance information.</w:t>
      </w:r>
    </w:p>
    <w:p>
      <w:pPr>
        <w:spacing w:after="40" w:before="120"/>
        <w:jc w:val="center"/>
      </w:pPr>
      <w:r>
        <w:drawing>
          <wp:inline distT="0" distB="0" distL="0" distR="0">
            <wp:extent cx="4572000" cy="2286000"/>
            <wp:effectExtent t="0" r="0" b="0" l="0"/>
            <wp:docPr id="1" name="Figure 4. Class balance, tuned_dataset_v1 generation." descr="Figure 4. Class balance, tuned_dataset_v1 generation." title="Figure 4. Class balance, tuned_dataset_v1 gene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2286000"/>
                    </a:xfrm>
                    <a:prstGeom prst="rect">
                      <a:avLst/>
                    </a:prstGeom>
                  </pic:spPr>
                </pic:pic>
              </a:graphicData>
            </a:graphic>
          </wp:inline>
        </w:drawing>
      </w:r>
    </w:p>
    <w:p>
      <w:pPr>
        <w:spacing w:after="240" w:before="80"/>
        <w:jc w:val="center"/>
      </w:pPr>
      <w:r>
        <w:rPr>
          <w:i/>
          <w:iCs/>
          <w:sz w:val="20"/>
          <w:szCs w:val="20"/>
        </w:rPr>
        <w:t xml:space="preserve">Figure 4. Class balance, tuned_dataset_v1 generation.</w:t>
      </w:r>
    </w:p>
    <w:p>
      <w:pPr>
        <w:spacing w:after="160"/>
        <w:jc w:val="both"/>
      </w:pPr>
      <w:r>
        <w:rPr>
          <w:b w:val="false"/>
          <w:bCs w:val="false"/>
          <w:i w:val="false"/>
          <w:iCs w:val="false"/>
        </w:rPr>
        <w:t xml:space="preserve">Figure 5 and Figure 6 quantify the tiny-object problem that turns out to be the dominant recall limitation of the whole detection branch (Section 8, and Failure F4 in Section 9). A large share of ground-truth boxes cover under 1% of the image area, and organic litter in particular is dominated by very small objects.</w:t>
      </w:r>
    </w:p>
    <w:p>
      <w:pPr>
        <w:spacing w:after="40" w:before="120"/>
        <w:jc w:val="center"/>
      </w:pPr>
      <w:r>
        <w:drawing>
          <wp:inline distT="0" distB="0" distL="0" distR="0">
            <wp:extent cx="4191000" cy="2619375"/>
            <wp:effectExtent t="0" r="0" b="0" l="0"/>
            <wp:docPr id="1" name="Figure 5. Distribution of ground-truth box area as a percentage of image area." descr="Figure 5. Distribution of ground-truth box area as a percentage of image area." title="Figure 5. Distribution of ground-truth box area as a percentage of image ar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191000" cy="2619375"/>
                    </a:xfrm>
                    <a:prstGeom prst="rect">
                      <a:avLst/>
                    </a:prstGeom>
                  </pic:spPr>
                </pic:pic>
              </a:graphicData>
            </a:graphic>
          </wp:inline>
        </w:drawing>
      </w:r>
    </w:p>
    <w:p>
      <w:pPr>
        <w:spacing w:after="240" w:before="80"/>
        <w:jc w:val="center"/>
      </w:pPr>
      <w:r>
        <w:rPr>
          <w:i/>
          <w:iCs/>
          <w:sz w:val="20"/>
          <w:szCs w:val="20"/>
        </w:rPr>
        <w:t xml:space="preserve">Figure 5. Distribution of ground-truth box area as a percentage of image area.</w:t>
      </w:r>
    </w:p>
    <w:p>
      <w:pPr>
        <w:spacing w:after="40" w:before="120"/>
        <w:jc w:val="center"/>
      </w:pPr>
      <w:r>
        <w:drawing>
          <wp:inline distT="0" distB="0" distL="0" distR="0">
            <wp:extent cx="4381500" cy="2438400"/>
            <wp:effectExtent t="0" r="0" b="0" l="0"/>
            <wp:docPr id="1" name="Figure 6. Share of small boxes (under 1% of image area) by class." descr="Figure 6. Share of small boxes (under 1% of image area) by class." title="Figure 6. Share of small boxes (under 1% of image area) by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381500" cy="2438400"/>
                    </a:xfrm>
                    <a:prstGeom prst="rect">
                      <a:avLst/>
                    </a:prstGeom>
                  </pic:spPr>
                </pic:pic>
              </a:graphicData>
            </a:graphic>
          </wp:inline>
        </w:drawing>
      </w:r>
    </w:p>
    <w:p>
      <w:pPr>
        <w:spacing w:after="240" w:before="80"/>
        <w:jc w:val="center"/>
      </w:pPr>
      <w:r>
        <w:rPr>
          <w:i/>
          <w:iCs/>
          <w:sz w:val="20"/>
          <w:szCs w:val="20"/>
        </w:rPr>
        <w:t xml:space="preserve">Figure 6. Share of small boxes (under 1% of image area) by class.</w:t>
      </w:r>
    </w:p>
    <w:p>
      <w:pPr>
        <w:pStyle w:val="Heading2"/>
      </w:pPr>
      <w:r>
        <w:t xml:space="preserve">6.4 Cross-Split Leakage Audit (Critical Finding)</w:t>
      </w:r>
    </w:p>
    <w:p>
      <w:pPr>
        <w:spacing w:after="160"/>
        <w:jc w:val="both"/>
      </w:pPr>
      <w:r>
        <w:rPr>
          <w:b w:val="false"/>
          <w:bCs w:val="false"/>
          <w:i w:val="false"/>
          <w:iCs w:val="false"/>
        </w:rPr>
        <w:t xml:space="preserve">The single most important dataset finding in this project was not planned as a headline result; it emerged from a systematic risk audit (scripts/audit_model_risks.py) that hashed roughly 79,000 images with both exact (MD5) and perceptual (dHash, Hamming distance &lt;= 4) hashing to check for images that were present in both a training split and an evaluation split under different filenames. This matters because several of the project's raw sources are re-exports of the same underlying TACO photographs through different Roboflow pipelines, which resize and re-encode images (defeating byte-level deduplication) but do not change their visual content.</w:t>
      </w:r>
    </w:p>
    <w:p>
      <w:pPr>
        <w:spacing w:after="160"/>
        <w:jc w:val="both"/>
      </w:pPr>
      <w:r>
        <w:rPr>
          <w:b w:val="false"/>
          <w:bCs w:val="false"/>
          <w:i w:val="false"/>
          <w:iCs w:val="false"/>
        </w:rPr>
        <w:t xml:space="preserve">The audit found that 43% of the classifier's merged_dataset_v5 test split (2,406 of 5,600 images: 1,718 byte-exact duplicates plus roughly 1,196 additional near-duplicates) were copies of training images, meaning the previously reported 94.30% test accuracy for that model was inflated. Detector splits were also affected, at a smaller scale (23.9% of one detector's validation split and 29.5% of its test split). Figure 7 is the actual visual evidence produced by the audit script: real pairs of images the automated check flagged as near-duplicates, manually verified by the author before any split was quarantined.</w:t>
      </w:r>
    </w:p>
    <w:p>
      <w:pPr>
        <w:spacing w:after="40" w:before="120"/>
        <w:jc w:val="center"/>
      </w:pPr>
      <w:r>
        <w:drawing>
          <wp:inline distT="0" distB="0" distL="0" distR="0">
            <wp:extent cx="2476500" cy="4286250"/>
            <wp:effectExtent t="0" r="0" b="0" l="0"/>
            <wp:docPr id="1" name="Figure 7. Visual verification of perceptual-hash-flagged near-duplicate image pairs across train/test splits (runs/audits/near_dup_spotcheck.jpg)." descr="Figure 7. Visual verification of perceptual-hash-flagged near-duplicate image pairs across train/test splits (runs/audits/near_dup_spotcheck.jpg)." title="Figure 7. Visual verification of perceptual-hash-flagged near-duplicate image pairs across train/test splits (runs/audits/near_dup_spotchec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476500" cy="4286250"/>
                    </a:xfrm>
                    <a:prstGeom prst="rect">
                      <a:avLst/>
                    </a:prstGeom>
                  </pic:spPr>
                </pic:pic>
              </a:graphicData>
            </a:graphic>
          </wp:inline>
        </w:drawing>
      </w:r>
    </w:p>
    <w:p>
      <w:pPr>
        <w:spacing w:after="240" w:before="80"/>
        <w:jc w:val="center"/>
      </w:pPr>
      <w:r>
        <w:rPr>
          <w:i/>
          <w:iCs/>
          <w:sz w:val="20"/>
          <w:szCs w:val="20"/>
        </w:rPr>
        <w:t xml:space="preserve">Figure 7. Visual verification of perceptual-hash-flagged near-duplicate image pairs across train/test splits (runs/audits/near_dup_spotcheck.jpg).</w:t>
      </w:r>
    </w:p>
    <w:p>
      <w:pPr>
        <w:spacing w:after="160"/>
        <w:jc w:val="both"/>
      </w:pPr>
      <w:r>
        <w:rPr>
          <w:b w:val="false"/>
          <w:bCs w:val="false"/>
          <w:i w:val="false"/>
          <w:iCs w:val="false"/>
        </w:rPr>
        <w:t xml:space="preserve">The fix (scripts/build_clean_eval_splits.py) quarantines every leaked evaluation image into a separate, clean split without altering the original files, producing external_datasets/yolo26_hardcase_clean_eval and data/merged_dataset_v5_clean_test. Every headline metric in Sections 8-10 of this report is measured on these clean splits, and the correction itself - accuracy moving from 94.30% to a clean 91.77% for the classifier, for instance - is treated as a project result in its own right (Section 9, Failure F1), not as an embarrassment to hide. A second, related leakage problem was found later in a dataset that had been informally treated as an independent "real-world" benchmark (yolo26_balanced_realworld_v2): it was subsequently shown to be 74% byte-identical to the deployed detector's own training data, and was retired from any accuracy claim (Section 9, Failure F10).</w:t>
      </w:r>
    </w:p>
    <w:p>
      <w:pPr>
        <w:pStyle w:val="Heading1"/>
      </w:pPr>
      <w:r>
        <w:t xml:space="preserve">7. Methodology</w:t>
      </w:r>
    </w:p>
    <w:p>
      <w:pPr>
        <w:pStyle w:val="Heading2"/>
      </w:pPr>
      <w:r>
        <w:t xml:space="preserve">7.1 System Overview: Two Branches</w:t>
      </w:r>
    </w:p>
    <w:p>
      <w:pPr>
        <w:spacing w:after="160"/>
        <w:jc w:val="both"/>
      </w:pPr>
      <w:r>
        <w:rPr>
          <w:b w:val="false"/>
          <w:bCs w:val="false"/>
          <w:i w:val="false"/>
          <w:iCs w:val="false"/>
        </w:rPr>
        <w:t xml:space="preserve">WasteWise runs one shared data pipeline (Section 6) feeding two parallel technical branches that answer different questions, shown in Figure 8. Branch A answers: how far can a fully explainable, mathematically defined feature representation go on this problem, and how compact can that representation be made? Branch B answers: what architecture actually works on unconstrained, cluttered real-world scenes, and can it be deployed as a live system? Branch B is the one served by the live web application; Branch A exists to provide an interpretable, auditable second opinion and a PCA compressibility study, not to compete for deployment.</w:t>
      </w:r>
    </w:p>
    <w:p>
      <w:pPr>
        <w:spacing w:after="40" w:before="120"/>
        <w:jc w:val="center"/>
      </w:pPr>
      <w:r>
        <w:drawing>
          <wp:inline distT="0" distB="0" distL="0" distR="0">
            <wp:extent cx="5334000" cy="4171950"/>
            <wp:effectExtent t="0" r="0" b="0" l="0"/>
            <wp:docPr id="1" name="Figure 8. WasteWise overall two-branch architecture, from raw datasets to deployed system." descr="Figure 8. WasteWise overall two-branch architecture, from raw datasets to deployed system." title="Figure 8. WasteWise overall two-branch architecture, from raw datasets to deployed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4171950"/>
                    </a:xfrm>
                    <a:prstGeom prst="rect">
                      <a:avLst/>
                    </a:prstGeom>
                  </pic:spPr>
                </pic:pic>
              </a:graphicData>
            </a:graphic>
          </wp:inline>
        </w:drawing>
      </w:r>
    </w:p>
    <w:p>
      <w:pPr>
        <w:spacing w:after="240" w:before="80"/>
        <w:jc w:val="center"/>
      </w:pPr>
      <w:r>
        <w:rPr>
          <w:i/>
          <w:iCs/>
          <w:sz w:val="20"/>
          <w:szCs w:val="20"/>
        </w:rPr>
        <w:t xml:space="preserve">Figure 8. WasteWise overall two-branch architecture, from raw datasets to deployed system.</w:t>
      </w:r>
    </w:p>
    <w:p>
      <w:pPr>
        <w:pStyle w:val="Heading2"/>
      </w:pPr>
      <w:r>
        <w:t xml:space="preserve">7.2 Branch A: Explainable Classical Machine Learning</w:t>
      </w:r>
    </w:p>
    <w:p>
      <w:pPr>
        <w:spacing w:after="160"/>
        <w:jc w:val="both"/>
      </w:pPr>
      <w:r>
        <w:rPr>
          <w:b w:val="false"/>
          <w:bCs w:val="false"/>
          <w:i w:val="false"/>
          <w:iCs w:val="false"/>
        </w:rPr>
        <w:t xml:space="preserve">Every object crop (resized to 64x64) is reduced to a fixed 637-dimensional handcrafted feature vector, described in Table 5, computed identically for every crop regardless of downstream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B0B7C3" w:sz="1"/>
              <w:left w:val="single" w:color="B0B7C3" w:sz="1"/>
              <w:bottom w:val="single" w:color="B0B7C3" w:sz="1"/>
              <w:right w:val="single" w:color="B0B7C3" w:sz="1"/>
            </w:tcBorders>
            <w:shd w:fill="1F2937" w:val="clear"/>
            <w:tcMar>
              <w:top w:type="dxa" w:w="80"/>
              <w:left w:type="dxa" w:w="120"/>
              <w:bottom w:type="dxa" w:w="80"/>
              <w:right w:type="dxa" w:w="120"/>
            </w:tcMar>
            <w:vAlign w:val="center"/>
          </w:tcPr>
          <w:p>
            <w:r>
              <w:rPr>
                <w:b/>
                <w:bCs/>
                <w:color w:val="FFFFFF"/>
                <w:sz w:val="19"/>
                <w:szCs w:val="19"/>
              </w:rPr>
              <w:t xml:space="preserve">Feature group</w:t>
            </w:r>
          </w:p>
        </w:tc>
        <w:tc>
          <w:tcPr>
            <w:tcW w:type="dxa" w:w="1600"/>
            <w:tcBorders>
              <w:top w:val="single" w:color="B0B7C3" w:sz="1"/>
              <w:left w:val="single" w:color="B0B7C3" w:sz="1"/>
              <w:bottom w:val="single" w:color="B0B7C3" w:sz="1"/>
              <w:right w:val="single" w:color="B0B7C3" w:sz="1"/>
            </w:tcBorders>
            <w:shd w:fill="1F2937" w:val="clear"/>
            <w:tcMar>
              <w:top w:type="dxa" w:w="80"/>
              <w:left w:type="dxa" w:w="120"/>
              <w:bottom w:type="dxa" w:w="80"/>
              <w:right w:type="dxa" w:w="120"/>
            </w:tcMar>
            <w:vAlign w:val="center"/>
          </w:tcPr>
          <w:p>
            <w:r>
              <w:rPr>
                <w:b/>
                <w:bCs/>
                <w:color w:val="FFFFFF"/>
                <w:sz w:val="19"/>
                <w:szCs w:val="19"/>
              </w:rPr>
              <w:t xml:space="preserve">Dimensions</w:t>
            </w:r>
          </w:p>
        </w:tc>
        <w:tc>
          <w:tcPr>
            <w:tcW w:type="dxa" w:w="5360"/>
            <w:tcBorders>
              <w:top w:val="single" w:color="B0B7C3" w:sz="1"/>
              <w:left w:val="single" w:color="B0B7C3" w:sz="1"/>
              <w:bottom w:val="single" w:color="B0B7C3" w:sz="1"/>
              <w:right w:val="single" w:color="B0B7C3" w:sz="1"/>
            </w:tcBorders>
            <w:shd w:fill="1F2937" w:val="clear"/>
            <w:tcMar>
              <w:top w:type="dxa" w:w="80"/>
              <w:left w:type="dxa" w:w="120"/>
              <w:bottom w:type="dxa" w:w="80"/>
              <w:right w:type="dxa" w:w="120"/>
            </w:tcMar>
            <w:vAlign w:val="center"/>
          </w:tcPr>
          <w:p>
            <w:r>
              <w:rPr>
                <w:b/>
                <w:bCs/>
                <w:color w:val="FFFFFF"/>
                <w:sz w:val="19"/>
                <w:szCs w:val="19"/>
              </w:rPr>
              <w:t xml:space="preserve">Description</w:t>
            </w:r>
          </w:p>
        </w:tc>
      </w:tr>
      <w:tr>
        <w:tc>
          <w:tcPr>
            <w:tcW w:type="dxa" w:w="2400"/>
            <w:tcBorders>
              <w:top w:val="single" w:color="B0B7C3" w:sz="1"/>
              <w:left w:val="single" w:color="B0B7C3" w:sz="1"/>
              <w:bottom w:val="single" w:color="B0B7C3" w:sz="1"/>
              <w:right w:val="single" w:color="B0B7C3" w:sz="1"/>
            </w:tcBorders>
            <w:shd w:fill="F8FAFC" w:val="clear"/>
            <w:tcMar>
              <w:top w:type="dxa" w:w="60"/>
              <w:left w:type="dxa" w:w="120"/>
              <w:bottom w:type="dxa" w:w="60"/>
              <w:right w:type="dxa" w:w="120"/>
            </w:tcMar>
            <w:vAlign w:val="center"/>
          </w:tcPr>
          <w:p>
            <w:r>
              <w:rPr>
                <w:b w:val="false"/>
                <w:bCs w:val="false"/>
                <w:sz w:val="19"/>
                <w:szCs w:val="19"/>
              </w:rPr>
              <w:t xml:space="preserve">Spatial</w:t>
            </w:r>
          </w:p>
        </w:tc>
        <w:tc>
          <w:tcPr>
            <w:tcW w:type="dxa" w:w="1600"/>
            <w:tcBorders>
              <w:top w:val="single" w:color="B0B7C3" w:sz="1"/>
              <w:left w:val="single" w:color="B0B7C3" w:sz="1"/>
              <w:bottom w:val="single" w:color="B0B7C3" w:sz="1"/>
              <w:right w:val="single" w:color="B0B7C3" w:sz="1"/>
            </w:tcBorders>
            <w:shd w:fill="F8FAFC" w:val="clear"/>
            <w:tcMar>
              <w:top w:type="dxa" w:w="60"/>
              <w:left w:type="dxa" w:w="120"/>
              <w:bottom w:type="dxa" w:w="60"/>
              <w:right w:type="dxa" w:w="120"/>
            </w:tcMar>
            <w:vAlign w:val="center"/>
          </w:tcPr>
          <w:p>
            <w:r>
              <w:rPr>
                <w:b w:val="false"/>
                <w:bCs w:val="false"/>
                <w:sz w:val="19"/>
                <w:szCs w:val="19"/>
              </w:rPr>
              <w:t xml:space="preserve">8</w:t>
            </w:r>
          </w:p>
        </w:tc>
        <w:tc>
          <w:tcPr>
            <w:tcW w:type="dxa" w:w="5360"/>
            <w:tcBorders>
              <w:top w:val="single" w:color="B0B7C3" w:sz="1"/>
              <w:left w:val="single" w:color="B0B7C3" w:sz="1"/>
              <w:bottom w:val="single" w:color="B0B7C3" w:sz="1"/>
              <w:right w:val="single" w:color="B0B7C3" w:sz="1"/>
            </w:tcBorders>
            <w:shd w:fill="F8FAFC" w:val="clear"/>
            <w:tcMar>
              <w:top w:type="dxa" w:w="60"/>
              <w:left w:type="dxa" w:w="120"/>
              <w:bottom w:type="dxa" w:w="60"/>
              <w:right w:type="dxa" w:w="120"/>
            </w:tcMar>
            <w:vAlign w:val="center"/>
          </w:tcPr>
          <w:p>
            <w:r>
              <w:rPr>
                <w:b w:val="false"/>
                <w:bCs w:val="false"/>
                <w:sz w:val="19"/>
                <w:szCs w:val="19"/>
              </w:rPr>
              <w:t xml:space="preserve">Mean/standard-deviation/percentile pixel intensity, gradient mean/std, edge density.</w:t>
            </w:r>
          </w:p>
        </w:tc>
      </w:tr>
      <w:tr>
        <w:tc>
          <w:tcPr>
            <w:tcW w:type="dxa" w:w="2400"/>
            <w:tcBorders>
              <w:top w:val="single" w:color="B0B7C3" w:sz="1"/>
              <w:left w:val="single" w:color="B0B7C3" w:sz="1"/>
              <w:bottom w:val="single" w:color="B0B7C3" w:sz="1"/>
              <w:right w:val="single" w:color="B0B7C3" w:sz="1"/>
            </w:tcBorders>
            <w:shd w:fill="FFFFFF" w:val="clear"/>
            <w:tcMar>
              <w:top w:type="dxa" w:w="60"/>
              <w:left w:type="dxa" w:w="120"/>
              <w:bottom w:type="dxa" w:w="60"/>
              <w:right w:type="dxa" w:w="120"/>
            </w:tcMar>
            <w:vAlign w:val="center"/>
          </w:tcPr>
          <w:p>
            <w:r>
              <w:rPr>
                <w:b w:val="false"/>
                <w:bCs w:val="false"/>
                <w:sz w:val="19"/>
                <w:szCs w:val="19"/>
              </w:rPr>
              <w:t xml:space="preserve">Frequency (FFT)</w:t>
            </w:r>
          </w:p>
        </w:tc>
        <w:tc>
          <w:tcPr>
            <w:tcW w:type="dxa" w:w="1600"/>
            <w:tcBorders>
              <w:top w:val="single" w:color="B0B7C3" w:sz="1"/>
              <w:left w:val="single" w:color="B0B7C3" w:sz="1"/>
              <w:bottom w:val="single" w:color="B0B7C3" w:sz="1"/>
              <w:right w:val="single" w:color="B0B7C3" w:sz="1"/>
            </w:tcBorders>
            <w:shd w:fill="FFFFFF" w:val="clear"/>
            <w:tcMar>
              <w:top w:type="dxa" w:w="60"/>
              <w:left w:type="dxa" w:w="120"/>
              <w:bottom w:type="dxa" w:w="60"/>
              <w:right w:type="dxa" w:w="120"/>
            </w:tcMar>
            <w:vAlign w:val="center"/>
          </w:tcPr>
          <w:p>
            <w:r>
              <w:rPr>
                <w:b w:val="false"/>
                <w:bCs w:val="false"/>
                <w:sz w:val="19"/>
                <w:szCs w:val="19"/>
              </w:rPr>
              <w:t xml:space="preserve">9</w:t>
            </w:r>
          </w:p>
        </w:tc>
        <w:tc>
          <w:tcPr>
            <w:tcW w:type="dxa" w:w="5360"/>
            <w:tcBorders>
              <w:top w:val="single" w:color="B0B7C3" w:sz="1"/>
              <w:left w:val="single" w:color="B0B7C3" w:sz="1"/>
              <w:bottom w:val="single" w:color="B0B7C3" w:sz="1"/>
              <w:right w:val="single" w:color="B0B7C3" w:sz="1"/>
            </w:tcBorders>
            <w:shd w:fill="FFFFFF" w:val="clear"/>
            <w:tcMar>
              <w:top w:type="dxa" w:w="60"/>
              <w:left w:type="dxa" w:w="120"/>
              <w:bottom w:type="dxa" w:w="60"/>
              <w:right w:type="dxa" w:w="120"/>
            </w:tcMar>
            <w:vAlign w:val="center"/>
          </w:tcPr>
          <w:p>
            <w:r>
              <w:rPr>
                <w:b w:val="false"/>
                <w:bCs w:val="false"/>
                <w:sz w:val="19"/>
                <w:szCs w:val="19"/>
              </w:rPr>
              <w:t xml:space="preserve">Radial 2-D FFT energy bins plus a high-frequency energy summary statistic.</w:t>
            </w:r>
          </w:p>
        </w:tc>
      </w:tr>
      <w:tr>
        <w:tc>
          <w:tcPr>
            <w:tcW w:type="dxa" w:w="2400"/>
            <w:tcBorders>
              <w:top w:val="single" w:color="B0B7C3" w:sz="1"/>
              <w:left w:val="single" w:color="B0B7C3" w:sz="1"/>
              <w:bottom w:val="single" w:color="B0B7C3" w:sz="1"/>
              <w:right w:val="single" w:color="B0B7C3" w:sz="1"/>
            </w:tcBorders>
            <w:shd w:fill="F8FAFC" w:val="clear"/>
            <w:tcMar>
              <w:top w:type="dxa" w:w="60"/>
              <w:left w:type="dxa" w:w="120"/>
              <w:bottom w:type="dxa" w:w="60"/>
              <w:right w:type="dxa" w:w="120"/>
            </w:tcMar>
            <w:vAlign w:val="center"/>
          </w:tcPr>
          <w:p>
            <w:r>
              <w:rPr>
                <w:b w:val="false"/>
                <w:bCs w:val="false"/>
                <w:sz w:val="19"/>
                <w:szCs w:val="19"/>
              </w:rPr>
              <w:t xml:space="preserve">Colour</w:t>
            </w:r>
          </w:p>
        </w:tc>
        <w:tc>
          <w:tcPr>
            <w:tcW w:type="dxa" w:w="1600"/>
            <w:tcBorders>
              <w:top w:val="single" w:color="B0B7C3" w:sz="1"/>
              <w:left w:val="single" w:color="B0B7C3" w:sz="1"/>
              <w:bottom w:val="single" w:color="B0B7C3" w:sz="1"/>
              <w:right w:val="single" w:color="B0B7C3" w:sz="1"/>
            </w:tcBorders>
            <w:shd w:fill="F8FAFC" w:val="clear"/>
            <w:tcMar>
              <w:top w:type="dxa" w:w="60"/>
              <w:left w:type="dxa" w:w="120"/>
              <w:bottom w:type="dxa" w:w="60"/>
              <w:right w:type="dxa" w:w="120"/>
            </w:tcMar>
            <w:vAlign w:val="center"/>
          </w:tcPr>
          <w:p>
            <w:r>
              <w:rPr>
                <w:b w:val="false"/>
                <w:bCs w:val="false"/>
                <w:sz w:val="19"/>
                <w:szCs w:val="19"/>
              </w:rPr>
              <w:t xml:space="preserve">44</w:t>
            </w:r>
          </w:p>
        </w:tc>
        <w:tc>
          <w:tcPr>
            <w:tcW w:type="dxa" w:w="5360"/>
            <w:tcBorders>
              <w:top w:val="single" w:color="B0B7C3" w:sz="1"/>
              <w:left w:val="single" w:color="B0B7C3" w:sz="1"/>
              <w:bottom w:val="single" w:color="B0B7C3" w:sz="1"/>
              <w:right w:val="single" w:color="B0B7C3" w:sz="1"/>
            </w:tcBorders>
            <w:shd w:fill="F8FAFC" w:val="clear"/>
            <w:tcMar>
              <w:top w:type="dxa" w:w="60"/>
              <w:left w:type="dxa" w:w="120"/>
              <w:bottom w:type="dxa" w:w="60"/>
              <w:right w:type="dxa" w:w="120"/>
            </w:tcMar>
            <w:vAlign w:val="center"/>
          </w:tcPr>
          <w:p>
            <w:r>
              <w:rPr>
                <w:b w:val="false"/>
                <w:bCs w:val="false"/>
                <w:sz w:val="19"/>
                <w:szCs w:val="19"/>
              </w:rPr>
              <w:t xml:space="preserve">HSV histograms plus BGR/HSV channel mean and standard deviation.</w:t>
            </w:r>
          </w:p>
        </w:tc>
      </w:tr>
      <w:tr>
        <w:tc>
          <w:tcPr>
            <w:tcW w:type="dxa" w:w="2400"/>
            <w:tcBorders>
              <w:top w:val="single" w:color="B0B7C3" w:sz="1"/>
              <w:left w:val="single" w:color="B0B7C3" w:sz="1"/>
              <w:bottom w:val="single" w:color="B0B7C3" w:sz="1"/>
              <w:right w:val="single" w:color="B0B7C3" w:sz="1"/>
            </w:tcBorders>
            <w:shd w:fill="FFFFFF" w:val="clear"/>
            <w:tcMar>
              <w:top w:type="dxa" w:w="60"/>
              <w:left w:type="dxa" w:w="120"/>
              <w:bottom w:type="dxa" w:w="60"/>
              <w:right w:type="dxa" w:w="120"/>
            </w:tcMar>
            <w:vAlign w:val="center"/>
          </w:tcPr>
          <w:p>
            <w:r>
              <w:rPr>
                <w:b w:val="false"/>
                <w:bCs w:val="false"/>
                <w:sz w:val="19"/>
                <w:szCs w:val="19"/>
              </w:rPr>
              <w:t xml:space="preserve">HOG (shape)</w:t>
            </w:r>
          </w:p>
        </w:tc>
        <w:tc>
          <w:tcPr>
            <w:tcW w:type="dxa" w:w="1600"/>
            <w:tcBorders>
              <w:top w:val="single" w:color="B0B7C3" w:sz="1"/>
              <w:left w:val="single" w:color="B0B7C3" w:sz="1"/>
              <w:bottom w:val="single" w:color="B0B7C3" w:sz="1"/>
              <w:right w:val="single" w:color="B0B7C3" w:sz="1"/>
            </w:tcBorders>
            <w:shd w:fill="FFFFFF" w:val="clear"/>
            <w:tcMar>
              <w:top w:type="dxa" w:w="60"/>
              <w:left w:type="dxa" w:w="120"/>
              <w:bottom w:type="dxa" w:w="60"/>
              <w:right w:type="dxa" w:w="120"/>
            </w:tcMar>
            <w:vAlign w:val="center"/>
          </w:tcPr>
          <w:p>
            <w:r>
              <w:rPr>
                <w:b w:val="false"/>
                <w:bCs w:val="false"/>
                <w:sz w:val="19"/>
                <w:szCs w:val="19"/>
              </w:rPr>
              <w:t xml:space="preserve">576</w:t>
            </w:r>
          </w:p>
        </w:tc>
        <w:tc>
          <w:tcPr>
            <w:tcW w:type="dxa" w:w="5360"/>
            <w:tcBorders>
              <w:top w:val="single" w:color="B0B7C3" w:sz="1"/>
              <w:left w:val="single" w:color="B0B7C3" w:sz="1"/>
              <w:bottom w:val="single" w:color="B0B7C3" w:sz="1"/>
              <w:right w:val="single" w:color="B0B7C3" w:sz="1"/>
            </w:tcBorders>
            <w:shd w:fill="FFFFFF" w:val="clear"/>
            <w:tcMar>
              <w:top w:type="dxa" w:w="60"/>
              <w:left w:type="dxa" w:w="120"/>
              <w:bottom w:type="dxa" w:w="60"/>
              <w:right w:type="dxa" w:w="120"/>
            </w:tcMar>
            <w:vAlign w:val="center"/>
          </w:tcPr>
          <w:p>
            <w:r>
              <w:rPr>
                <w:b w:val="false"/>
                <w:bCs w:val="false"/>
                <w:sz w:val="19"/>
                <w:szCs w:val="19"/>
              </w:rPr>
              <w:t xml:space="preserve">Histogram of Oriented Gradients (Dalal and Triggs, 2005): local edge-orientation statistics over a fixed cell/block grid.</w:t>
            </w:r>
          </w:p>
        </w:tc>
      </w:tr>
      <w:tr>
        <w:tc>
          <w:tcPr>
            <w:tcW w:type="dxa" w:w="2400"/>
            <w:tcBorders>
              <w:top w:val="single" w:color="B0B7C3" w:sz="1"/>
              <w:left w:val="single" w:color="B0B7C3" w:sz="1"/>
              <w:bottom w:val="single" w:color="B0B7C3" w:sz="1"/>
              <w:right w:val="single" w:color="B0B7C3" w:sz="1"/>
            </w:tcBorders>
            <w:shd w:fill="F8FAFC" w:val="clear"/>
            <w:tcMar>
              <w:top w:type="dxa" w:w="60"/>
              <w:left w:type="dxa" w:w="120"/>
              <w:bottom w:type="dxa" w:w="60"/>
              <w:right w:type="dxa" w:w="120"/>
            </w:tcMar>
            <w:vAlign w:val="center"/>
          </w:tcPr>
          <w:p>
            <w:r>
              <w:rPr>
                <w:b w:val="false"/>
                <w:bCs w:val="false"/>
                <w:sz w:val="19"/>
                <w:szCs w:val="19"/>
              </w:rPr>
              <w:t xml:space="preserve">Total</w:t>
            </w:r>
          </w:p>
        </w:tc>
        <w:tc>
          <w:tcPr>
            <w:tcW w:type="dxa" w:w="1600"/>
            <w:tcBorders>
              <w:top w:val="single" w:color="B0B7C3" w:sz="1"/>
              <w:left w:val="single" w:color="B0B7C3" w:sz="1"/>
              <w:bottom w:val="single" w:color="B0B7C3" w:sz="1"/>
              <w:right w:val="single" w:color="B0B7C3" w:sz="1"/>
            </w:tcBorders>
            <w:shd w:fill="F8FAFC" w:val="clear"/>
            <w:tcMar>
              <w:top w:type="dxa" w:w="60"/>
              <w:left w:type="dxa" w:w="120"/>
              <w:bottom w:type="dxa" w:w="60"/>
              <w:right w:type="dxa" w:w="120"/>
            </w:tcMar>
            <w:vAlign w:val="center"/>
          </w:tcPr>
          <w:p>
            <w:r>
              <w:rPr>
                <w:b w:val="false"/>
                <w:bCs w:val="false"/>
                <w:sz w:val="19"/>
                <w:szCs w:val="19"/>
              </w:rPr>
              <w:t xml:space="preserve">637</w:t>
            </w:r>
          </w:p>
        </w:tc>
        <w:tc>
          <w:tcPr>
            <w:tcW w:type="dxa" w:w="5360"/>
            <w:tcBorders>
              <w:top w:val="single" w:color="B0B7C3" w:sz="1"/>
              <w:left w:val="single" w:color="B0B7C3" w:sz="1"/>
              <w:bottom w:val="single" w:color="B0B7C3" w:sz="1"/>
              <w:right w:val="single" w:color="B0B7C3" w:sz="1"/>
            </w:tcBorders>
            <w:shd w:fill="F8FAFC" w:val="clear"/>
            <w:tcMar>
              <w:top w:type="dxa" w:w="60"/>
              <w:left w:type="dxa" w:w="120"/>
              <w:bottom w:type="dxa" w:w="60"/>
              <w:right w:type="dxa" w:w="120"/>
            </w:tcMar>
            <w:vAlign w:val="center"/>
          </w:tcPr>
          <w:p>
            <w:r>
              <w:rPr>
                <w:b w:val="false"/>
                <w:bCs w:val="false"/>
                <w:sz w:val="19"/>
                <w:szCs w:val="19"/>
              </w:rPr>
              <w:t xml:space="preserve">Fixed-length, fully interpretable per-crop representation.</w:t>
            </w:r>
          </w:p>
        </w:tc>
      </w:tr>
    </w:tbl>
    <w:p>
      <w:pPr>
        <w:spacing w:after="200"/>
      </w:pPr>
    </w:p>
    <w:p>
      <w:pPr>
        <w:spacing w:after="160"/>
        <w:jc w:val="both"/>
      </w:pPr>
      <w:r>
        <w:rPr>
          <w:b w:val="false"/>
          <w:bCs w:val="false"/>
          <w:i w:val="false"/>
          <w:iCs w:val="false"/>
        </w:rPr>
        <w:t xml:space="preserve">Six classical classifiers are trained on an identical feature matrix and identical splits: Decision Tree, Logistic Regression (L2-regularised), Linear SVM (on standardised features), Random Forest (300 trees), ExtraTrees, and XGBoost. Features are standardised with a StandardScaler fitted on the training split only, to avoid test-set information leaking into preprocessing. Sampling uses a balanced per-class cap (recorded per run in class_support.json) so that classes with more raw data do not dominate training. Evaluation reports accuracy, macro-F1, per-model confusion matrices, and a feature-domain importance breakdown (spatial vs. frequency vs. colour vs. HOG), which is the concrete mechanism that makes this branch explainable: a reviewer can ask which feature group actually drives a prediction and get a quantitative answer.</w:t>
      </w:r>
    </w:p>
    <w:p>
      <w:pPr>
        <w:spacing w:after="160"/>
        <w:jc w:val="both"/>
      </w:pPr>
      <w:r>
        <w:rPr>
          <w:b w:val="false"/>
          <w:bCs w:val="false"/>
          <w:i w:val="false"/>
          <w:iCs w:val="false"/>
        </w:rPr>
        <w:t xml:space="preserve">A controlled PCA study (Section 4.2.1 in the underlying experiment log) projects the training features onto 16 to 637 principal components and retrains every model at every dimension, reporting explained variance, accuracy, macro-F1, and per-sample inference latency at each setting, specifically to avoid the cherry-picking failure documented in Section 9 (Failure F3), where an earlier draft of this analysis quoted only the model and dimension that produced the most flattering headline number.</w:t>
      </w:r>
    </w:p>
    <w:p>
      <w:pPr>
        <w:pStyle w:val="Heading2"/>
      </w:pPr>
      <w:r>
        <w:t xml:space="preserve">7.3 Branch B: Two-Stage, Localisation-First Production Pipeline</w:t>
      </w:r>
    </w:p>
    <w:p>
      <w:pPr>
        <w:spacing w:after="160"/>
        <w:jc w:val="both"/>
      </w:pPr>
      <w:r>
        <w:rPr>
          <w:b w:val="false"/>
          <w:bCs w:val="false"/>
          <w:i w:val="false"/>
          <w:iCs w:val="false"/>
        </w:rPr>
        <w:t xml:space="preserve">Figure 9 shows the full production pipeline, using the same step numbers (S1-S6) exposed in the reworked web GUI (Section 4.3, Figure 2). The single most important architectural decision in the whole project is the ordering: YOLO localises first, and a dedicated classifier verifies material second. This reversal stops background context (grass, sand, floor) from contaminating a material prediction, and gives the classifier a clean, zoomed crop instead of a whole scene to reason about.</w:t>
      </w:r>
    </w:p>
    <w:p>
      <w:pPr>
        <w:spacing w:after="40" w:before="120"/>
        <w:jc w:val="center"/>
      </w:pPr>
      <w:r>
        <w:drawing>
          <wp:inline distT="0" distB="0" distL="0" distR="0">
            <wp:extent cx="5905500" cy="323850"/>
            <wp:effectExtent t="0" r="0" b="0" l="0"/>
            <wp:docPr id="1" name="Figure 9. Branch B two-stage production pipeline, steps S1-S6, matching the web application's result stepper." descr="Figure 9. Branch B two-stage production pipeline, steps S1-S6, matching the web application's result stepper." title="Figure 9. Branch B two-stage production pipeline, steps S1-S6, matching the web application's result step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323850"/>
                    </a:xfrm>
                    <a:prstGeom prst="rect">
                      <a:avLst/>
                    </a:prstGeom>
                  </pic:spPr>
                </pic:pic>
              </a:graphicData>
            </a:graphic>
          </wp:inline>
        </w:drawing>
      </w:r>
    </w:p>
    <w:p>
      <w:pPr>
        <w:spacing w:after="240" w:before="80"/>
        <w:jc w:val="center"/>
      </w:pPr>
      <w:r>
        <w:rPr>
          <w:i/>
          <w:iCs/>
          <w:sz w:val="20"/>
          <w:szCs w:val="20"/>
        </w:rPr>
        <w:t xml:space="preserve">Figure 9. Branch B two-stage production pipeline, steps S1-S6, matching the web application's result stepper.</w:t>
      </w:r>
    </w:p>
    <w:p>
      <w:pPr>
        <w:pStyle w:val="Heading3"/>
      </w:pPr>
      <w:r>
        <w:t xml:space="preserve">7.3.1 Stage 1: YOLO Object Proposal (S2)</w:t>
      </w:r>
    </w:p>
    <w:p>
      <w:pPr>
        <w:spacing w:after="160"/>
        <w:jc w:val="both"/>
      </w:pPr>
      <w:r>
        <w:rPr>
          <w:b w:val="false"/>
          <w:bCs w:val="false"/>
          <w:i w:val="false"/>
          <w:iCs w:val="false"/>
        </w:rPr>
        <w:t xml:space="preserve">The deployed detector is YOLO26n (Section 8.3 documents why this was chosen over YOLOv8n and YOLOv11 after a direct benchmark), trained for 100 epochs at image size 640 with a cosine learning-rate schedule. Its role is deliberately limited to proposing boxes: it is trusted for object geometry (mean matched IoU of accepted boxes exceeds 0.90) but explicitly not trusted for the final material label, which is Stage 2's job.</w:t>
      </w:r>
    </w:p>
    <w:p>
      <w:pPr>
        <w:pStyle w:val="Heading3"/>
      </w:pPr>
      <w:r>
        <w:t xml:space="preserve">7.3.2 Adaptive Scene Engine (S2)</w:t>
      </w:r>
    </w:p>
    <w:p>
      <w:pPr>
        <w:spacing w:after="160"/>
        <w:jc w:val="both"/>
      </w:pPr>
      <w:r>
        <w:rPr>
          <w:b w:val="false"/>
          <w:bCs w:val="false"/>
          <w:i w:val="false"/>
          <w:iCs w:val="false"/>
        </w:rPr>
        <w:t xml:space="preserve">Two scene-adaptive behaviours sit directly on top of Stage 1's raw output. Small-object recovery: if zero boxes are found at the normal operating confidence, the engine re-runs detection at a much lower confidence and relaxes the Stage 2 acceptance limit, to recover faint or reflective small objects. Dense-clutter mitigation: if a scene returns an unusually large number of candidate boxes, the Stage 2 acceptance limit is tightened instead, to control false alarms in visually busy scenes.</w:t>
      </w:r>
    </w:p>
    <w:p>
      <w:pPr>
        <w:pStyle w:val="Heading3"/>
      </w:pPr>
      <w:r>
        <w:t xml:space="preserve">7.3.3 Crop Extraction and Filtering (S3)</w:t>
      </w:r>
    </w:p>
    <w:p>
      <w:pPr>
        <w:spacing w:after="160"/>
        <w:jc w:val="both"/>
      </w:pPr>
      <w:r>
        <w:rPr>
          <w:b w:val="false"/>
          <w:bCs w:val="false"/>
          <w:i w:val="false"/>
          <w:iCs w:val="false"/>
        </w:rPr>
        <w:t xml:space="preserve">Boxes smaller than 24x24 pixels are rejected outright as a physical size filter (they carry too little texture information for Stage 2 to classify reliably); surviving boxes are padded by 10 pixels and cropped. This is the hand-off point between the localisation and classification stages.</w:t>
      </w:r>
    </w:p>
    <w:p>
      <w:pPr>
        <w:pStyle w:val="Heading3"/>
      </w:pPr>
      <w:r>
        <w:t xml:space="preserve">7.3.4 Stage 2: Multimodal Crop Verification (S4)</w:t>
      </w:r>
    </w:p>
    <w:p>
      <w:pPr>
        <w:spacing w:after="160"/>
        <w:jc w:val="both"/>
      </w:pPr>
      <w:r>
        <w:rPr>
          <w:b w:val="false"/>
          <w:bCs w:val="false"/>
          <w:i w:val="false"/>
          <w:iCs w:val="false"/>
        </w:rPr>
        <w:t xml:space="preserve">Each surviving crop is classified by a ConvNeXt-Tiny network whose image embedding is concatenated with the same standardised 637-dimensional handcrafted feature vector used in Branch A, before a shared classification head - so the deep image embedding and the explainable handcrafted features vote together inside one network rather than in two separate, hard-to-reconcile models. The output is a 7-class probability vector including Background, which is exactly the mechanism that lets Stage 2 veto a Stage 1 false alarm. Training uses a short frozen-backbone warm-up followed by several epochs of progressive unfreezing; the hard-case retrain on RealWaste- and TACO-derived crops is the model actually deployed (Section 8.2).</w:t>
      </w:r>
    </w:p>
    <w:p>
      <w:pPr>
        <w:pStyle w:val="Heading3"/>
      </w:pPr>
      <w:r>
        <w:t xml:space="preserve">7.3.5 Score Fusion and Context Priors (S5)</w:t>
      </w:r>
    </w:p>
    <w:p>
      <w:pPr>
        <w:spacing w:after="160"/>
        <w:jc w:val="both"/>
      </w:pPr>
      <w:r>
        <w:rPr>
          <w:b w:val="false"/>
          <w:bCs w:val="false"/>
          <w:i w:val="false"/>
          <w:iCs w:val="false"/>
        </w:rPr>
        <w:t xml:space="preserve">Stage 1's box confidence and Stage 2's class probability are combined through a dynamic, confidence-dependent alpha blend (final score = alpha times YOLO confidence plus (1 - alpha) times CNN probability), so that a highly confident detector proposal is trusted more on geometry while a weak proposal defers almost entirely to the classifier's texture evidence. An HSV-based scene classifier additionally labels the environment (beach, grass, street, indoor) and multiplies non-background class probabilities by a per-scene prior vector before renormalising, following the contextual-priming principle described by Torralba et al. (2006).</w:t>
      </w:r>
    </w:p>
    <w:p>
      <w:pPr>
        <w:pStyle w:val="Heading3"/>
      </w:pPr>
      <w:r>
        <w:t xml:space="preserve">7.3.6 Waste-State Decision Gate (S6)</w:t>
      </w:r>
    </w:p>
    <w:p>
      <w:pPr>
        <w:spacing w:after="160"/>
        <w:jc w:val="both"/>
      </w:pPr>
      <w:r>
        <w:rPr>
          <w:b w:val="false"/>
          <w:bCs w:val="false"/>
          <w:i w:val="false"/>
          <w:iCs w:val="false"/>
        </w:rPr>
        <w:t xml:space="preserve">A final, deliberately rule-based (not learned) gate classifies each verified object as waste, not_waste, or review, and only objects marked waste enter bin-routing aggregation. This is a conservative design choice: Section 9 (Failure F16) documents an attempt to loosen this gate that looked better on a small demo set but measurably cost 15 percentage points of precision on a larger, two-domain check, and was reverted. The gate is treated as a calibrated precision guard, not a stale leftover setting.</w:t>
      </w:r>
    </w:p>
    <w:p>
      <w:pPr>
        <w:pStyle w:val="Heading3"/>
      </w:pPr>
      <w:r>
        <w:t xml:space="preserve">7.3.7 Alternative Pipeline Considered: Classification-First with Grad-CAM (Rejected)</w:t>
      </w:r>
    </w:p>
    <w:p>
      <w:pPr>
        <w:spacing w:after="160"/>
        <w:jc w:val="both"/>
      </w:pPr>
      <w:r>
        <w:rPr>
          <w:b w:val="false"/>
          <w:bCs w:val="false"/>
          <w:i w:val="false"/>
          <w:iCs w:val="false"/>
        </w:rPr>
        <w:t xml:space="preserve">Before settling on the localisation-first design, a classification-first alternative was implemented and measured on identical evaluation images: a global scene classifier runs first, and Grad-CAM's gradient-based class-activation map is thresholded to derive an object box, with a YOLO-as-localiser-only variant also tested for comparison. The Grad-CAM baseline reached precision 0.257 and recall 0.073 on a stratified evaluation set, far below the localisation-first pipeline's precision 0.70 / recall 0.57 on the same style of evaluation (Section 8.3.1). This comparison, not intuition, is the quantitative justification for the localisation-first design adopted in Section 7.3, and it is kept in this report specifically so that the design decision is falsifiable rather than asserted.</w:t>
      </w:r>
    </w:p>
    <w:p>
      <w:pPr>
        <w:pStyle w:val="Heading2"/>
      </w:pPr>
      <w:r>
        <w:t xml:space="preserve">7.4 Training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0B7C3" w:sz="1"/>
              <w:left w:val="single" w:color="B0B7C3" w:sz="1"/>
              <w:bottom w:val="single" w:color="B0B7C3" w:sz="1"/>
              <w:right w:val="single" w:color="B0B7C3" w:sz="1"/>
            </w:tcBorders>
            <w:shd w:fill="1F2937" w:val="clear"/>
            <w:tcMar>
              <w:top w:type="dxa" w:w="80"/>
              <w:left w:type="dxa" w:w="120"/>
              <w:bottom w:type="dxa" w:w="80"/>
              <w:right w:type="dxa" w:w="120"/>
            </w:tcMar>
            <w:vAlign w:val="center"/>
          </w:tcPr>
          <w:p>
            <w:r>
              <w:rPr>
                <w:b/>
                <w:bCs/>
                <w:color w:val="FFFFFF"/>
                <w:sz w:val="19"/>
                <w:szCs w:val="19"/>
              </w:rPr>
              <w:t xml:space="preserve">Component</w:t>
            </w:r>
          </w:p>
        </w:tc>
        <w:tc>
          <w:tcPr>
            <w:tcW w:type="dxa" w:w="6160"/>
            <w:tcBorders>
              <w:top w:val="single" w:color="B0B7C3" w:sz="1"/>
              <w:left w:val="single" w:color="B0B7C3" w:sz="1"/>
              <w:bottom w:val="single" w:color="B0B7C3" w:sz="1"/>
              <w:right w:val="single" w:color="B0B7C3" w:sz="1"/>
            </w:tcBorders>
            <w:shd w:fill="1F2937" w:val="clear"/>
            <w:tcMar>
              <w:top w:type="dxa" w:w="80"/>
              <w:left w:type="dxa" w:w="120"/>
              <w:bottom w:type="dxa" w:w="80"/>
              <w:right w:type="dxa" w:w="120"/>
            </w:tcMar>
            <w:vAlign w:val="center"/>
          </w:tcPr>
          <w:p>
            <w:r>
              <w:rPr>
                <w:b/>
                <w:bCs/>
                <w:color w:val="FFFFFF"/>
                <w:sz w:val="19"/>
                <w:szCs w:val="19"/>
              </w:rPr>
              <w:t xml:space="preserve">Setting</w:t>
            </w:r>
          </w:p>
        </w:tc>
      </w:tr>
      <w:tr>
        <w:tc>
          <w:tcPr>
            <w:tcW w:type="dxa" w:w="3200"/>
            <w:tcBorders>
              <w:top w:val="single" w:color="B0B7C3" w:sz="1"/>
              <w:left w:val="single" w:color="B0B7C3" w:sz="1"/>
              <w:bottom w:val="single" w:color="B0B7C3" w:sz="1"/>
              <w:right w:val="single" w:color="B0B7C3" w:sz="1"/>
            </w:tcBorders>
            <w:shd w:fill="F8FAFC" w:val="clear"/>
            <w:tcMar>
              <w:top w:type="dxa" w:w="60"/>
              <w:left w:type="dxa" w:w="120"/>
              <w:bottom w:type="dxa" w:w="60"/>
              <w:right w:type="dxa" w:w="120"/>
            </w:tcMar>
            <w:vAlign w:val="center"/>
          </w:tcPr>
          <w:p>
            <w:r>
              <w:rPr>
                <w:b w:val="false"/>
                <w:bCs w:val="false"/>
                <w:sz w:val="19"/>
                <w:szCs w:val="19"/>
              </w:rPr>
              <w:t xml:space="preserve">Hardware</w:t>
            </w:r>
          </w:p>
        </w:tc>
        <w:tc>
          <w:tcPr>
            <w:tcW w:type="dxa" w:w="6160"/>
            <w:tcBorders>
              <w:top w:val="single" w:color="B0B7C3" w:sz="1"/>
              <w:left w:val="single" w:color="B0B7C3" w:sz="1"/>
              <w:bottom w:val="single" w:color="B0B7C3" w:sz="1"/>
              <w:right w:val="single" w:color="B0B7C3" w:sz="1"/>
            </w:tcBorders>
            <w:shd w:fill="F8FAFC" w:val="clear"/>
            <w:tcMar>
              <w:top w:type="dxa" w:w="60"/>
              <w:left w:type="dxa" w:w="120"/>
              <w:bottom w:type="dxa" w:w="60"/>
              <w:right w:type="dxa" w:w="120"/>
            </w:tcMar>
            <w:vAlign w:val="center"/>
          </w:tcPr>
          <w:p>
            <w:r>
              <w:rPr>
                <w:b w:val="false"/>
                <w:bCs w:val="false"/>
                <w:sz w:val="19"/>
                <w:szCs w:val="19"/>
              </w:rPr>
              <w:t xml:space="preserve">Single machine, NVIDIA RTX 3060 (12 GB VRAM).</w:t>
            </w:r>
          </w:p>
        </w:tc>
      </w:tr>
      <w:tr>
        <w:tc>
          <w:tcPr>
            <w:tcW w:type="dxa" w:w="3200"/>
            <w:tcBorders>
              <w:top w:val="single" w:color="B0B7C3" w:sz="1"/>
              <w:left w:val="single" w:color="B0B7C3" w:sz="1"/>
              <w:bottom w:val="single" w:color="B0B7C3" w:sz="1"/>
              <w:right w:val="single" w:color="B0B7C3" w:sz="1"/>
            </w:tcBorders>
            <w:shd w:fill="FFFFFF" w:val="clear"/>
            <w:tcMar>
              <w:top w:type="dxa" w:w="60"/>
              <w:left w:type="dxa" w:w="120"/>
              <w:bottom w:type="dxa" w:w="60"/>
              <w:right w:type="dxa" w:w="120"/>
            </w:tcMar>
            <w:vAlign w:val="center"/>
          </w:tcPr>
          <w:p>
            <w:r>
              <w:rPr>
                <w:b w:val="false"/>
                <w:bCs w:val="false"/>
                <w:sz w:val="19"/>
                <w:szCs w:val="19"/>
              </w:rPr>
              <w:t xml:space="preserve">Detector training</w:t>
            </w:r>
          </w:p>
        </w:tc>
        <w:tc>
          <w:tcPr>
            <w:tcW w:type="dxa" w:w="6160"/>
            <w:tcBorders>
              <w:top w:val="single" w:color="B0B7C3" w:sz="1"/>
              <w:left w:val="single" w:color="B0B7C3" w:sz="1"/>
              <w:bottom w:val="single" w:color="B0B7C3" w:sz="1"/>
              <w:right w:val="single" w:color="B0B7C3" w:sz="1"/>
            </w:tcBorders>
            <w:shd w:fill="FFFFFF" w:val="clear"/>
            <w:tcMar>
              <w:top w:type="dxa" w:w="60"/>
              <w:left w:type="dxa" w:w="120"/>
              <w:bottom w:type="dxa" w:w="60"/>
              <w:right w:type="dxa" w:w="120"/>
            </w:tcMar>
            <w:vAlign w:val="center"/>
          </w:tcPr>
          <w:p>
            <w:r>
              <w:rPr>
                <w:b w:val="false"/>
                <w:bCs w:val="false"/>
                <w:sz w:val="19"/>
                <w:szCs w:val="19"/>
              </w:rPr>
              <w:t xml:space="preserve">YOLO26n, 100 epochs, image size 640, batch 16, cosine learning-rate schedule, cache disabled (disk space constraint).</w:t>
            </w:r>
          </w:p>
        </w:tc>
      </w:tr>
      <w:tr>
        <w:tc>
          <w:tcPr>
            <w:tcW w:type="dxa" w:w="3200"/>
            <w:tcBorders>
              <w:top w:val="single" w:color="B0B7C3" w:sz="1"/>
              <w:left w:val="single" w:color="B0B7C3" w:sz="1"/>
              <w:bottom w:val="single" w:color="B0B7C3" w:sz="1"/>
              <w:right w:val="single" w:color="B0B7C3" w:sz="1"/>
            </w:tcBorders>
            <w:shd w:fill="F8FAFC" w:val="clear"/>
            <w:tcMar>
              <w:top w:type="dxa" w:w="60"/>
              <w:left w:type="dxa" w:w="120"/>
              <w:bottom w:type="dxa" w:w="60"/>
              <w:right w:type="dxa" w:w="120"/>
            </w:tcMar>
            <w:vAlign w:val="center"/>
          </w:tcPr>
          <w:p>
            <w:r>
              <w:rPr>
                <w:b w:val="false"/>
                <w:bCs w:val="false"/>
                <w:sz w:val="19"/>
                <w:szCs w:val="19"/>
              </w:rPr>
              <w:t xml:space="preserve">Stage 2 classifier training</w:t>
            </w:r>
          </w:p>
        </w:tc>
        <w:tc>
          <w:tcPr>
            <w:tcW w:type="dxa" w:w="6160"/>
            <w:tcBorders>
              <w:top w:val="single" w:color="B0B7C3" w:sz="1"/>
              <w:left w:val="single" w:color="B0B7C3" w:sz="1"/>
              <w:bottom w:val="single" w:color="B0B7C3" w:sz="1"/>
              <w:right w:val="single" w:color="B0B7C3" w:sz="1"/>
            </w:tcBorders>
            <w:shd w:fill="F8FAFC" w:val="clear"/>
            <w:tcMar>
              <w:top w:type="dxa" w:w="60"/>
              <w:left w:type="dxa" w:w="120"/>
              <w:bottom w:type="dxa" w:w="60"/>
              <w:right w:type="dxa" w:w="120"/>
            </w:tcMar>
            <w:vAlign w:val="center"/>
          </w:tcPr>
          <w:p>
            <w:r>
              <w:rPr>
                <w:b w:val="false"/>
                <w:bCs w:val="false"/>
                <w:sz w:val="19"/>
                <w:szCs w:val="19"/>
              </w:rPr>
              <w:t xml:space="preserve">ConvNeXt-Tiny + 637 features, 3-epoch frozen-backbone warm-up, 7 epochs progressive unfreezing.</w:t>
            </w:r>
          </w:p>
        </w:tc>
      </w:tr>
      <w:tr>
        <w:tc>
          <w:tcPr>
            <w:tcW w:type="dxa" w:w="3200"/>
            <w:tcBorders>
              <w:top w:val="single" w:color="B0B7C3" w:sz="1"/>
              <w:left w:val="single" w:color="B0B7C3" w:sz="1"/>
              <w:bottom w:val="single" w:color="B0B7C3" w:sz="1"/>
              <w:right w:val="single" w:color="B0B7C3" w:sz="1"/>
            </w:tcBorders>
            <w:shd w:fill="FFFFFF" w:val="clear"/>
            <w:tcMar>
              <w:top w:type="dxa" w:w="60"/>
              <w:left w:type="dxa" w:w="120"/>
              <w:bottom w:type="dxa" w:w="60"/>
              <w:right w:type="dxa" w:w="120"/>
            </w:tcMar>
            <w:vAlign w:val="center"/>
          </w:tcPr>
          <w:p>
            <w:r>
              <w:rPr>
                <w:b w:val="false"/>
                <w:bCs w:val="false"/>
                <w:sz w:val="19"/>
                <w:szCs w:val="19"/>
              </w:rPr>
              <w:t xml:space="preserve">Classical ML (Branch A)</w:t>
            </w:r>
          </w:p>
        </w:tc>
        <w:tc>
          <w:tcPr>
            <w:tcW w:type="dxa" w:w="6160"/>
            <w:tcBorders>
              <w:top w:val="single" w:color="B0B7C3" w:sz="1"/>
              <w:left w:val="single" w:color="B0B7C3" w:sz="1"/>
              <w:bottom w:val="single" w:color="B0B7C3" w:sz="1"/>
              <w:right w:val="single" w:color="B0B7C3" w:sz="1"/>
            </w:tcBorders>
            <w:shd w:fill="FFFFFF" w:val="clear"/>
            <w:tcMar>
              <w:top w:type="dxa" w:w="60"/>
              <w:left w:type="dxa" w:w="120"/>
              <w:bottom w:type="dxa" w:w="60"/>
              <w:right w:type="dxa" w:w="120"/>
            </w:tcMar>
            <w:vAlign w:val="center"/>
          </w:tcPr>
          <w:p>
            <w:r>
              <w:rPr>
                <w:b w:val="false"/>
                <w:bCs w:val="false"/>
                <w:sz w:val="19"/>
                <w:szCs w:val="19"/>
              </w:rPr>
              <w:t xml:space="preserve">Balanced per-class crop cap (e.g. 4,000 train crops/class where available); StandardScaler fit on train split only.</w:t>
            </w:r>
          </w:p>
        </w:tc>
      </w:tr>
      <w:tr>
        <w:tc>
          <w:tcPr>
            <w:tcW w:type="dxa" w:w="3200"/>
            <w:tcBorders>
              <w:top w:val="single" w:color="B0B7C3" w:sz="1"/>
              <w:left w:val="single" w:color="B0B7C3" w:sz="1"/>
              <w:bottom w:val="single" w:color="B0B7C3" w:sz="1"/>
              <w:right w:val="single" w:color="B0B7C3" w:sz="1"/>
            </w:tcBorders>
            <w:shd w:fill="F8FAFC" w:val="clear"/>
            <w:tcMar>
              <w:top w:type="dxa" w:w="60"/>
              <w:left w:type="dxa" w:w="120"/>
              <w:bottom w:type="dxa" w:w="60"/>
              <w:right w:type="dxa" w:w="120"/>
            </w:tcMar>
            <w:vAlign w:val="center"/>
          </w:tcPr>
          <w:p>
            <w:r>
              <w:rPr>
                <w:b w:val="false"/>
                <w:bCs w:val="false"/>
                <w:sz w:val="19"/>
                <w:szCs w:val="19"/>
              </w:rPr>
              <w:t xml:space="preserve">Environment</w:t>
            </w:r>
          </w:p>
        </w:tc>
        <w:tc>
          <w:tcPr>
            <w:tcW w:type="dxa" w:w="6160"/>
            <w:tcBorders>
              <w:top w:val="single" w:color="B0B7C3" w:sz="1"/>
              <w:left w:val="single" w:color="B0B7C3" w:sz="1"/>
              <w:bottom w:val="single" w:color="B0B7C3" w:sz="1"/>
              <w:right w:val="single" w:color="B0B7C3" w:sz="1"/>
            </w:tcBorders>
            <w:shd w:fill="F8FAFC" w:val="clear"/>
            <w:tcMar>
              <w:top w:type="dxa" w:w="60"/>
              <w:left w:type="dxa" w:w="120"/>
              <w:bottom w:type="dxa" w:w="60"/>
              <w:right w:type="dxa" w:w="120"/>
            </w:tcMar>
            <w:vAlign w:val="center"/>
          </w:tcPr>
          <w:p>
            <w:r>
              <w:rPr>
                <w:b w:val="false"/>
                <w:bCs w:val="false"/>
                <w:sz w:val="19"/>
                <w:szCs w:val="19"/>
              </w:rPr>
              <w:t xml:space="preserve">Python 3.11 virtual environment (.venv311); PyTorch 2.4.1+cu121; all GPU work pinned to this environment after Failure F7 (Section 9).</w:t>
            </w:r>
          </w:p>
        </w:tc>
      </w:tr>
    </w:tbl>
    <w:p>
      <w:pPr>
        <w:spacing w:after="200"/>
      </w:pPr>
    </w:p>
    <w:p>
      <w:pPr>
        <w:pStyle w:val="Heading2"/>
      </w:pPr>
      <w:r>
        <w:t xml:space="preserve">7.5 Evaluation Protocol</w:t>
      </w:r>
    </w:p>
    <w:p>
      <w:pPr>
        <w:spacing w:after="160"/>
        <w:jc w:val="both"/>
      </w:pPr>
      <w:r>
        <w:rPr>
          <w:b w:val="false"/>
          <w:bCs w:val="false"/>
          <w:i w:val="false"/>
          <w:iCs w:val="false"/>
        </w:rPr>
        <w:t xml:space="preserve">Localisation is evaluated by IoU@0.5 matching against ground-truth boxes, reporting precision, recall, F1, and mean matched IoU. Classification is evaluated with accuracy and macro-F1 on balanced splits. Detectors additionally report mAP@0.5 and mAP@0.5:0.95. Deployment-facing results additionally report model size, latency, and frames per second. Critically, every evaluation is run twice where a leakage risk exists: once on the original split, and once on the audited clean split (Section 6.4), and this report only treats the clean-split number as the number the project stands behind.</w:t>
      </w:r>
    </w:p>
    <w:p>
      <w:pPr>
        <w:pStyle w:val="Heading1"/>
      </w:pPr>
      <w:r>
        <w:t xml:space="preserve">8. Results</w:t>
      </w:r>
    </w:p>
    <w:p>
      <w:pPr>
        <w:pStyle w:val="Heading2"/>
      </w:pPr>
      <w:r>
        <w:t xml:space="preserve">8.1 Classical Machine Learning Branch Results</w:t>
      </w:r>
    </w:p>
    <w:p>
      <w:pPr>
        <w:spacing w:after="160"/>
        <w:jc w:val="both"/>
      </w:pPr>
      <w:r>
        <w:rPr>
          <w:b w:val="false"/>
          <w:bCs w:val="false"/>
          <w:i w:val="false"/>
          <w:iCs w:val="false"/>
        </w:rPr>
        <w:t xml:space="preserve">Table 8 reports the reference lecturer-facing benchmark (six material classes, balanced 4,000-crop-per-class training cap). XGBoost is the strongest classical model on the 637-D handcrafted feature vector.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B0B7C3" w:sz="1"/>
              <w:left w:val="single" w:color="B0B7C3" w:sz="1"/>
              <w:bottom w:val="single" w:color="B0B7C3" w:sz="1"/>
              <w:right w:val="single" w:color="B0B7C3" w:sz="1"/>
            </w:tcBorders>
            <w:shd w:fill="1F2937" w:val="clear"/>
            <w:tcMar>
              <w:top w:type="dxa" w:w="80"/>
              <w:left w:type="dxa" w:w="120"/>
              <w:bottom w:type="dxa" w:w="80"/>
              <w:right w:type="dxa" w:w="120"/>
            </w:tcMar>
            <w:vAlign w:val="center"/>
          </w:tcPr>
          <w:p>
            <w:r>
              <w:rPr>
                <w:b/>
                <w:bCs/>
                <w:color w:val="FFFFFF"/>
                <w:sz w:val="19"/>
                <w:szCs w:val="19"/>
              </w:rPr>
              <w:t xml:space="preserve">Model</w:t>
            </w:r>
          </w:p>
        </w:tc>
        <w:tc>
          <w:tcPr>
            <w:tcW w:type="dxa" w:w="2340"/>
            <w:tcBorders>
              <w:top w:val="single" w:color="B0B7C3" w:sz="1"/>
              <w:left w:val="single" w:color="B0B7C3" w:sz="1"/>
              <w:bottom w:val="single" w:color="B0B7C3" w:sz="1"/>
              <w:right w:val="single" w:color="B0B7C3" w:sz="1"/>
            </w:tcBorders>
            <w:shd w:fill="1F2937" w:val="clear"/>
            <w:tcMar>
              <w:top w:type="dxa" w:w="80"/>
              <w:left w:type="dxa" w:w="120"/>
              <w:bottom w:type="dxa" w:w="80"/>
              <w:right w:type="dxa" w:w="120"/>
            </w:tcMar>
            <w:vAlign w:val="center"/>
          </w:tcPr>
          <w:p>
            <w:r>
              <w:rPr>
                <w:b/>
                <w:bCs/>
                <w:color w:val="FFFFFF"/>
                <w:sz w:val="19"/>
                <w:szCs w:val="19"/>
              </w:rPr>
              <w:t xml:space="preserve">Accuracy</w:t>
            </w:r>
          </w:p>
        </w:tc>
        <w:tc>
          <w:tcPr>
            <w:tcW w:type="dxa" w:w="2340"/>
            <w:tcBorders>
              <w:top w:val="single" w:color="B0B7C3" w:sz="1"/>
              <w:left w:val="single" w:color="B0B7C3" w:sz="1"/>
              <w:bottom w:val="single" w:color="B0B7C3" w:sz="1"/>
              <w:right w:val="single" w:color="B0B7C3" w:sz="1"/>
            </w:tcBorders>
            <w:shd w:fill="1F2937" w:val="clear"/>
            <w:tcMar>
              <w:top w:type="dxa" w:w="80"/>
              <w:left w:type="dxa" w:w="120"/>
              <w:bottom w:type="dxa" w:w="80"/>
              <w:right w:type="dxa" w:w="120"/>
            </w:tcMar>
            <w:vAlign w:val="center"/>
          </w:tcPr>
          <w:p>
            <w:r>
              <w:rPr>
                <w:b/>
                <w:bCs/>
                <w:color w:val="FFFFFF"/>
                <w:sz w:val="19"/>
                <w:szCs w:val="19"/>
              </w:rPr>
              <w:t xml:space="preserve">Macro-F1</w:t>
            </w:r>
          </w:p>
        </w:tc>
      </w:tr>
      <w:tr>
        <w:tc>
          <w:tcPr>
            <w:tcW w:type="dxa" w:w="4680"/>
            <w:tcBorders>
              <w:top w:val="single" w:color="B0B7C3" w:sz="1"/>
              <w:left w:val="single" w:color="B0B7C3" w:sz="1"/>
              <w:bottom w:val="single" w:color="B0B7C3" w:sz="1"/>
              <w:right w:val="single" w:color="B0B7C3" w:sz="1"/>
            </w:tcBorders>
            <w:shd w:fill="F8FAFC" w:val="clear"/>
            <w:tcMar>
              <w:top w:type="dxa" w:w="60"/>
              <w:left w:type="dxa" w:w="120"/>
              <w:bottom w:type="dxa" w:w="60"/>
              <w:right w:type="dxa" w:w="120"/>
            </w:tcMar>
            <w:vAlign w:val="center"/>
          </w:tcPr>
          <w:p>
            <w:r>
              <w:rPr>
                <w:b w:val="false"/>
                <w:bCs w:val="false"/>
                <w:sz w:val="19"/>
                <w:szCs w:val="19"/>
              </w:rPr>
              <w:t xml:space="preserve">XGBoost</w:t>
            </w:r>
          </w:p>
        </w:tc>
        <w:tc>
          <w:tcPr>
            <w:tcW w:type="dxa" w:w="2340"/>
            <w:tcBorders>
              <w:top w:val="single" w:color="B0B7C3" w:sz="1"/>
              <w:left w:val="single" w:color="B0B7C3" w:sz="1"/>
              <w:bottom w:val="single" w:color="B0B7C3" w:sz="1"/>
              <w:right w:val="single" w:color="B0B7C3" w:sz="1"/>
            </w:tcBorders>
            <w:shd w:fill="F8FAFC" w:val="clear"/>
            <w:tcMar>
              <w:top w:type="dxa" w:w="60"/>
              <w:left w:type="dxa" w:w="120"/>
              <w:bottom w:type="dxa" w:w="60"/>
              <w:right w:type="dxa" w:w="120"/>
            </w:tcMar>
            <w:vAlign w:val="center"/>
          </w:tcPr>
          <w:p>
            <w:r>
              <w:rPr>
                <w:b w:val="false"/>
                <w:bCs w:val="false"/>
                <w:sz w:val="19"/>
                <w:szCs w:val="19"/>
              </w:rPr>
              <w:t xml:space="preserve">0.6742</w:t>
            </w:r>
          </w:p>
        </w:tc>
        <w:tc>
          <w:tcPr>
            <w:tcW w:type="dxa" w:w="2340"/>
            <w:tcBorders>
              <w:top w:val="single" w:color="B0B7C3" w:sz="1"/>
              <w:left w:val="single" w:color="B0B7C3" w:sz="1"/>
              <w:bottom w:val="single" w:color="B0B7C3" w:sz="1"/>
              <w:right w:val="single" w:color="B0B7C3" w:sz="1"/>
            </w:tcBorders>
            <w:shd w:fill="F8FAFC" w:val="clear"/>
            <w:tcMar>
              <w:top w:type="dxa" w:w="60"/>
              <w:left w:type="dxa" w:w="120"/>
              <w:bottom w:type="dxa" w:w="60"/>
              <w:right w:type="dxa" w:w="120"/>
            </w:tcMar>
            <w:vAlign w:val="center"/>
          </w:tcPr>
          <w:p>
            <w:r>
              <w:rPr>
                <w:b w:val="false"/>
                <w:bCs w:val="false"/>
                <w:sz w:val="19"/>
                <w:szCs w:val="19"/>
              </w:rPr>
              <w:t xml:space="preserve">0.6506</w:t>
            </w:r>
          </w:p>
        </w:tc>
      </w:tr>
      <w:tr>
        <w:tc>
          <w:tcPr>
            <w:tcW w:type="dxa" w:w="4680"/>
            <w:tcBorders>
              <w:top w:val="single" w:color="B0B7C3" w:sz="1"/>
              <w:left w:val="single" w:color="B0B7C3" w:sz="1"/>
              <w:bottom w:val="single" w:color="B0B7C3" w:sz="1"/>
              <w:right w:val="single" w:color="B0B7C3" w:sz="1"/>
            </w:tcBorders>
            <w:shd w:fill="FFFFFF" w:val="clear"/>
            <w:tcMar>
              <w:top w:type="dxa" w:w="60"/>
              <w:left w:type="dxa" w:w="120"/>
              <w:bottom w:type="dxa" w:w="60"/>
              <w:right w:type="dxa" w:w="120"/>
            </w:tcMar>
            <w:vAlign w:val="center"/>
          </w:tcPr>
          <w:p>
            <w:r>
              <w:rPr>
                <w:b w:val="false"/>
                <w:bCs w:val="false"/>
                <w:sz w:val="19"/>
                <w:szCs w:val="19"/>
              </w:rPr>
              <w:t xml:space="preserve">ExtraTrees</w:t>
            </w:r>
          </w:p>
        </w:tc>
        <w:tc>
          <w:tcPr>
            <w:tcW w:type="dxa" w:w="2340"/>
            <w:tcBorders>
              <w:top w:val="single" w:color="B0B7C3" w:sz="1"/>
              <w:left w:val="single" w:color="B0B7C3" w:sz="1"/>
              <w:bottom w:val="single" w:color="B0B7C3" w:sz="1"/>
              <w:right w:val="single" w:color="B0B7C3" w:sz="1"/>
            </w:tcBorders>
            <w:shd w:fill="FFFFFF" w:val="clear"/>
            <w:tcMar>
              <w:top w:type="dxa" w:w="60"/>
              <w:left w:type="dxa" w:w="120"/>
              <w:bottom w:type="dxa" w:w="60"/>
              <w:right w:type="dxa" w:w="120"/>
            </w:tcMar>
            <w:vAlign w:val="center"/>
          </w:tcPr>
          <w:p>
            <w:r>
              <w:rPr>
                <w:b w:val="false"/>
                <w:bCs w:val="false"/>
                <w:sz w:val="19"/>
                <w:szCs w:val="19"/>
              </w:rPr>
              <w:t xml:space="preserve">0.6312</w:t>
            </w:r>
          </w:p>
        </w:tc>
        <w:tc>
          <w:tcPr>
            <w:tcW w:type="dxa" w:w="2340"/>
            <w:tcBorders>
              <w:top w:val="single" w:color="B0B7C3" w:sz="1"/>
              <w:left w:val="single" w:color="B0B7C3" w:sz="1"/>
              <w:bottom w:val="single" w:color="B0B7C3" w:sz="1"/>
              <w:right w:val="single" w:color="B0B7C3" w:sz="1"/>
            </w:tcBorders>
            <w:shd w:fill="FFFFFF" w:val="clear"/>
            <w:tcMar>
              <w:top w:type="dxa" w:w="60"/>
              <w:left w:type="dxa" w:w="120"/>
              <w:bottom w:type="dxa" w:w="60"/>
              <w:right w:type="dxa" w:w="120"/>
            </w:tcMar>
            <w:vAlign w:val="center"/>
          </w:tcPr>
          <w:p>
            <w:r>
              <w:rPr>
                <w:b w:val="false"/>
                <w:bCs w:val="false"/>
                <w:sz w:val="19"/>
                <w:szCs w:val="19"/>
              </w:rPr>
              <w:t xml:space="preserve">0.6113</w:t>
            </w:r>
          </w:p>
        </w:tc>
      </w:tr>
      <w:tr>
        <w:tc>
          <w:tcPr>
            <w:tcW w:type="dxa" w:w="4680"/>
            <w:tcBorders>
              <w:top w:val="single" w:color="B0B7C3" w:sz="1"/>
              <w:left w:val="single" w:color="B0B7C3" w:sz="1"/>
              <w:bottom w:val="single" w:color="B0B7C3" w:sz="1"/>
              <w:right w:val="single" w:color="B0B7C3" w:sz="1"/>
            </w:tcBorders>
            <w:shd w:fill="F8FAFC" w:val="clear"/>
            <w:tcMar>
              <w:top w:type="dxa" w:w="60"/>
              <w:left w:type="dxa" w:w="120"/>
              <w:bottom w:type="dxa" w:w="60"/>
              <w:right w:type="dxa" w:w="120"/>
            </w:tcMar>
            <w:vAlign w:val="center"/>
          </w:tcPr>
          <w:p>
            <w:r>
              <w:rPr>
                <w:b w:val="false"/>
                <w:bCs w:val="false"/>
                <w:sz w:val="19"/>
                <w:szCs w:val="19"/>
              </w:rPr>
              <w:t xml:space="preserve">Random Forest</w:t>
            </w:r>
          </w:p>
        </w:tc>
        <w:tc>
          <w:tcPr>
            <w:tcW w:type="dxa" w:w="2340"/>
            <w:tcBorders>
              <w:top w:val="single" w:color="B0B7C3" w:sz="1"/>
              <w:left w:val="single" w:color="B0B7C3" w:sz="1"/>
              <w:bottom w:val="single" w:color="B0B7C3" w:sz="1"/>
              <w:right w:val="single" w:color="B0B7C3" w:sz="1"/>
            </w:tcBorders>
            <w:shd w:fill="F8FAFC" w:val="clear"/>
            <w:tcMar>
              <w:top w:type="dxa" w:w="60"/>
              <w:left w:type="dxa" w:w="120"/>
              <w:bottom w:type="dxa" w:w="60"/>
              <w:right w:type="dxa" w:w="120"/>
            </w:tcMar>
            <w:vAlign w:val="center"/>
          </w:tcPr>
          <w:p>
            <w:r>
              <w:rPr>
                <w:b w:val="false"/>
                <w:bCs w:val="false"/>
                <w:sz w:val="19"/>
                <w:szCs w:val="19"/>
              </w:rPr>
              <w:t xml:space="preserve">0.6317</w:t>
            </w:r>
          </w:p>
        </w:tc>
        <w:tc>
          <w:tcPr>
            <w:tcW w:type="dxa" w:w="2340"/>
            <w:tcBorders>
              <w:top w:val="single" w:color="B0B7C3" w:sz="1"/>
              <w:left w:val="single" w:color="B0B7C3" w:sz="1"/>
              <w:bottom w:val="single" w:color="B0B7C3" w:sz="1"/>
              <w:right w:val="single" w:color="B0B7C3" w:sz="1"/>
            </w:tcBorders>
            <w:shd w:fill="F8FAFC" w:val="clear"/>
            <w:tcMar>
              <w:top w:type="dxa" w:w="60"/>
              <w:left w:type="dxa" w:w="120"/>
              <w:bottom w:type="dxa" w:w="60"/>
              <w:right w:type="dxa" w:w="120"/>
            </w:tcMar>
            <w:vAlign w:val="center"/>
          </w:tcPr>
          <w:p>
            <w:r>
              <w:rPr>
                <w:b w:val="false"/>
                <w:bCs w:val="false"/>
                <w:sz w:val="19"/>
                <w:szCs w:val="19"/>
              </w:rPr>
              <w:t xml:space="preserve">0.6111</w:t>
            </w:r>
          </w:p>
        </w:tc>
      </w:tr>
      <w:tr>
        <w:tc>
          <w:tcPr>
            <w:tcW w:type="dxa" w:w="4680"/>
            <w:tcBorders>
              <w:top w:val="single" w:color="B0B7C3" w:sz="1"/>
              <w:left w:val="single" w:color="B0B7C3" w:sz="1"/>
              <w:bottom w:val="single" w:color="B0B7C3" w:sz="1"/>
              <w:right w:val="single" w:color="B0B7C3" w:sz="1"/>
            </w:tcBorders>
            <w:shd w:fill="FFFFFF" w:val="clear"/>
            <w:tcMar>
              <w:top w:type="dxa" w:w="60"/>
              <w:left w:type="dxa" w:w="120"/>
              <w:bottom w:type="dxa" w:w="60"/>
              <w:right w:type="dxa" w:w="120"/>
            </w:tcMar>
            <w:vAlign w:val="center"/>
          </w:tcPr>
          <w:p>
            <w:r>
              <w:rPr>
                <w:b w:val="false"/>
                <w:bCs w:val="false"/>
                <w:sz w:val="19"/>
                <w:szCs w:val="19"/>
              </w:rPr>
              <w:t xml:space="preserve">Linear SVM</w:t>
            </w:r>
          </w:p>
        </w:tc>
        <w:tc>
          <w:tcPr>
            <w:tcW w:type="dxa" w:w="2340"/>
            <w:tcBorders>
              <w:top w:val="single" w:color="B0B7C3" w:sz="1"/>
              <w:left w:val="single" w:color="B0B7C3" w:sz="1"/>
              <w:bottom w:val="single" w:color="B0B7C3" w:sz="1"/>
              <w:right w:val="single" w:color="B0B7C3" w:sz="1"/>
            </w:tcBorders>
            <w:shd w:fill="FFFFFF" w:val="clear"/>
            <w:tcMar>
              <w:top w:type="dxa" w:w="60"/>
              <w:left w:type="dxa" w:w="120"/>
              <w:bottom w:type="dxa" w:w="60"/>
              <w:right w:type="dxa" w:w="120"/>
            </w:tcMar>
            <w:vAlign w:val="center"/>
          </w:tcPr>
          <w:p>
            <w:r>
              <w:rPr>
                <w:b w:val="false"/>
                <w:bCs w:val="false"/>
                <w:sz w:val="19"/>
                <w:szCs w:val="19"/>
              </w:rPr>
              <w:t xml:space="preserve">0.5960</w:t>
            </w:r>
          </w:p>
        </w:tc>
        <w:tc>
          <w:tcPr>
            <w:tcW w:type="dxa" w:w="2340"/>
            <w:tcBorders>
              <w:top w:val="single" w:color="B0B7C3" w:sz="1"/>
              <w:left w:val="single" w:color="B0B7C3" w:sz="1"/>
              <w:bottom w:val="single" w:color="B0B7C3" w:sz="1"/>
              <w:right w:val="single" w:color="B0B7C3" w:sz="1"/>
            </w:tcBorders>
            <w:shd w:fill="FFFFFF" w:val="clear"/>
            <w:tcMar>
              <w:top w:type="dxa" w:w="60"/>
              <w:left w:type="dxa" w:w="120"/>
              <w:bottom w:type="dxa" w:w="60"/>
              <w:right w:type="dxa" w:w="120"/>
            </w:tcMar>
            <w:vAlign w:val="center"/>
          </w:tcPr>
          <w:p>
            <w:r>
              <w:rPr>
                <w:b w:val="false"/>
                <w:bCs w:val="false"/>
                <w:sz w:val="19"/>
                <w:szCs w:val="19"/>
              </w:rPr>
              <w:t xml:space="preserve">0.5642</w:t>
            </w:r>
          </w:p>
        </w:tc>
      </w:tr>
      <w:tr>
        <w:tc>
          <w:tcPr>
            <w:tcW w:type="dxa" w:w="4680"/>
            <w:tcBorders>
              <w:top w:val="single" w:color="B0B7C3" w:sz="1"/>
              <w:left w:val="single" w:color="B0B7C3" w:sz="1"/>
              <w:bottom w:val="single" w:color="B0B7C3" w:sz="1"/>
              <w:right w:val="single" w:color="B0B7C3" w:sz="1"/>
            </w:tcBorders>
            <w:shd w:fill="F8FAFC" w:val="clear"/>
            <w:tcMar>
              <w:top w:type="dxa" w:w="60"/>
              <w:left w:type="dxa" w:w="120"/>
              <w:bottom w:type="dxa" w:w="60"/>
              <w:right w:type="dxa" w:w="120"/>
            </w:tcMar>
            <w:vAlign w:val="center"/>
          </w:tcPr>
          <w:p>
            <w:r>
              <w:rPr>
                <w:b w:val="false"/>
                <w:bCs w:val="false"/>
                <w:sz w:val="19"/>
                <w:szCs w:val="19"/>
              </w:rPr>
              <w:t xml:space="preserve">Logistic Regression</w:t>
            </w:r>
          </w:p>
        </w:tc>
        <w:tc>
          <w:tcPr>
            <w:tcW w:type="dxa" w:w="2340"/>
            <w:tcBorders>
              <w:top w:val="single" w:color="B0B7C3" w:sz="1"/>
              <w:left w:val="single" w:color="B0B7C3" w:sz="1"/>
              <w:bottom w:val="single" w:color="B0B7C3" w:sz="1"/>
              <w:right w:val="single" w:color="B0B7C3" w:sz="1"/>
            </w:tcBorders>
            <w:shd w:fill="F8FAFC" w:val="clear"/>
            <w:tcMar>
              <w:top w:type="dxa" w:w="60"/>
              <w:left w:type="dxa" w:w="120"/>
              <w:bottom w:type="dxa" w:w="60"/>
              <w:right w:type="dxa" w:w="120"/>
            </w:tcMar>
            <w:vAlign w:val="center"/>
          </w:tcPr>
          <w:p>
            <w:r>
              <w:rPr>
                <w:b w:val="false"/>
                <w:bCs w:val="false"/>
                <w:sz w:val="19"/>
                <w:szCs w:val="19"/>
              </w:rPr>
              <w:t xml:space="preserve">0.5864</w:t>
            </w:r>
          </w:p>
        </w:tc>
        <w:tc>
          <w:tcPr>
            <w:tcW w:type="dxa" w:w="2340"/>
            <w:tcBorders>
              <w:top w:val="single" w:color="B0B7C3" w:sz="1"/>
              <w:left w:val="single" w:color="B0B7C3" w:sz="1"/>
              <w:bottom w:val="single" w:color="B0B7C3" w:sz="1"/>
              <w:right w:val="single" w:color="B0B7C3" w:sz="1"/>
            </w:tcBorders>
            <w:shd w:fill="F8FAFC" w:val="clear"/>
            <w:tcMar>
              <w:top w:type="dxa" w:w="60"/>
              <w:left w:type="dxa" w:w="120"/>
              <w:bottom w:type="dxa" w:w="60"/>
              <w:right w:type="dxa" w:w="120"/>
            </w:tcMar>
            <w:vAlign w:val="center"/>
          </w:tcPr>
          <w:p>
            <w:r>
              <w:rPr>
                <w:b w:val="false"/>
                <w:bCs w:val="false"/>
                <w:sz w:val="19"/>
                <w:szCs w:val="19"/>
              </w:rPr>
              <w:t xml:space="preserve">0.5558</w:t>
            </w:r>
          </w:p>
        </w:tc>
      </w:tr>
      <w:tr>
        <w:tc>
          <w:tcPr>
            <w:tcW w:type="dxa" w:w="4680"/>
            <w:tcBorders>
              <w:top w:val="single" w:color="B0B7C3" w:sz="1"/>
              <w:left w:val="single" w:color="B0B7C3" w:sz="1"/>
              <w:bottom w:val="single" w:color="B0B7C3" w:sz="1"/>
              <w:right w:val="single" w:color="B0B7C3" w:sz="1"/>
            </w:tcBorders>
            <w:shd w:fill="FFFFFF" w:val="clear"/>
            <w:tcMar>
              <w:top w:type="dxa" w:w="60"/>
              <w:left w:type="dxa" w:w="120"/>
              <w:bottom w:type="dxa" w:w="60"/>
              <w:right w:type="dxa" w:w="120"/>
            </w:tcMar>
            <w:vAlign w:val="center"/>
          </w:tcPr>
          <w:p>
            <w:r>
              <w:rPr>
                <w:b w:val="false"/>
                <w:bCs w:val="false"/>
                <w:sz w:val="19"/>
                <w:szCs w:val="19"/>
              </w:rPr>
              <w:t xml:space="preserve">Decision Tree</w:t>
            </w:r>
          </w:p>
        </w:tc>
        <w:tc>
          <w:tcPr>
            <w:tcW w:type="dxa" w:w="2340"/>
            <w:tcBorders>
              <w:top w:val="single" w:color="B0B7C3" w:sz="1"/>
              <w:left w:val="single" w:color="B0B7C3" w:sz="1"/>
              <w:bottom w:val="single" w:color="B0B7C3" w:sz="1"/>
              <w:right w:val="single" w:color="B0B7C3" w:sz="1"/>
            </w:tcBorders>
            <w:shd w:fill="FFFFFF" w:val="clear"/>
            <w:tcMar>
              <w:top w:type="dxa" w:w="60"/>
              <w:left w:type="dxa" w:w="120"/>
              <w:bottom w:type="dxa" w:w="60"/>
              <w:right w:type="dxa" w:w="120"/>
            </w:tcMar>
            <w:vAlign w:val="center"/>
          </w:tcPr>
          <w:p>
            <w:r>
              <w:rPr>
                <w:b w:val="false"/>
                <w:bCs w:val="false"/>
                <w:sz w:val="19"/>
                <w:szCs w:val="19"/>
              </w:rPr>
              <w:t xml:space="preserve">0.5115</w:t>
            </w:r>
          </w:p>
        </w:tc>
        <w:tc>
          <w:tcPr>
            <w:tcW w:type="dxa" w:w="2340"/>
            <w:tcBorders>
              <w:top w:val="single" w:color="B0B7C3" w:sz="1"/>
              <w:left w:val="single" w:color="B0B7C3" w:sz="1"/>
              <w:bottom w:val="single" w:color="B0B7C3" w:sz="1"/>
              <w:right w:val="single" w:color="B0B7C3" w:sz="1"/>
            </w:tcBorders>
            <w:shd w:fill="FFFFFF" w:val="clear"/>
            <w:tcMar>
              <w:top w:type="dxa" w:w="60"/>
              <w:left w:type="dxa" w:w="120"/>
              <w:bottom w:type="dxa" w:w="60"/>
              <w:right w:type="dxa" w:w="120"/>
            </w:tcMar>
            <w:vAlign w:val="center"/>
          </w:tcPr>
          <w:p>
            <w:r>
              <w:rPr>
                <w:b w:val="false"/>
                <w:bCs w:val="false"/>
                <w:sz w:val="19"/>
                <w:szCs w:val="19"/>
              </w:rPr>
              <w:t xml:space="preserve">0.4883</w:t>
            </w:r>
          </w:p>
        </w:tc>
      </w:tr>
    </w:tbl>
    <w:p>
      <w:pPr>
        <w:spacing w:after="200"/>
      </w:pPr>
    </w:p>
    <w:p>
      <w:pPr>
        <w:spacing w:after="40" w:before="120"/>
        <w:jc w:val="center"/>
      </w:pPr>
      <w:r>
        <w:drawing>
          <wp:inline distT="0" distB="0" distL="0" distR="0">
            <wp:extent cx="4381500" cy="2743200"/>
            <wp:effectExtent t="0" r="0" b="0" l="0"/>
            <wp:docPr id="1" name="Figure 10. Accuracy and macro-F1 comparison across the six classical models." descr="Figure 10. Accuracy and macro-F1 comparison across the six classical models." title="Figure 10. Accuracy and macro-F1 comparison across the six classical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381500" cy="2743200"/>
                    </a:xfrm>
                    <a:prstGeom prst="rect">
                      <a:avLst/>
                    </a:prstGeom>
                  </pic:spPr>
                </pic:pic>
              </a:graphicData>
            </a:graphic>
          </wp:inline>
        </w:drawing>
      </w:r>
    </w:p>
    <w:p>
      <w:pPr>
        <w:spacing w:after="240" w:before="80"/>
        <w:jc w:val="center"/>
      </w:pPr>
      <w:r>
        <w:rPr>
          <w:i/>
          <w:iCs/>
          <w:sz w:val="20"/>
          <w:szCs w:val="20"/>
        </w:rPr>
        <w:t xml:space="preserve">Figure 10. Accuracy and macro-F1 comparison across the six classical models.</w:t>
      </w:r>
    </w:p>
    <w:p>
      <w:pPr>
        <w:spacing w:after="40" w:before="120"/>
        <w:jc w:val="center"/>
      </w:pPr>
      <w:r>
        <w:drawing>
          <wp:inline distT="0" distB="0" distL="0" distR="0">
            <wp:extent cx="3619500" cy="3171825"/>
            <wp:effectExtent t="0" r="0" b="0" l="0"/>
            <wp:docPr id="1" name="Figure 11. XGBoost confusion matrix, six-class handcrafted-feature benchmark." descr="Figure 11. XGBoost confusion matrix, six-class handcrafted-feature benchmark." title="Figure 11. XGBoost confusion matrix, six-class handcrafted-feature bench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619500" cy="3171825"/>
                    </a:xfrm>
                    <a:prstGeom prst="rect">
                      <a:avLst/>
                    </a:prstGeom>
                  </pic:spPr>
                </pic:pic>
              </a:graphicData>
            </a:graphic>
          </wp:inline>
        </w:drawing>
      </w:r>
    </w:p>
    <w:p>
      <w:pPr>
        <w:spacing w:after="240" w:before="80"/>
        <w:jc w:val="center"/>
      </w:pPr>
      <w:r>
        <w:rPr>
          <w:i/>
          <w:iCs/>
          <w:sz w:val="20"/>
          <w:szCs w:val="20"/>
        </w:rPr>
        <w:t xml:space="preserve">Figure 11. XGBoost confusion matrix, six-class handcrafted-feature benchmark.</w:t>
      </w:r>
    </w:p>
    <w:p>
      <w:pPr>
        <w:spacing w:after="40" w:before="120"/>
        <w:jc w:val="center"/>
      </w:pPr>
      <w:r>
        <w:drawing>
          <wp:inline distT="0" distB="0" distL="0" distR="0">
            <wp:extent cx="3619500" cy="2409825"/>
            <wp:effectExtent t="0" r="0" b="0" l="0"/>
            <wp:docPr id="1" name="Figure 12. Feature-domain importance: spatial vs. frequency vs. colour vs. HOG contribution to the best model's decisions." descr="Figure 12. Feature-domain importance: spatial vs. frequency vs. colour vs. HOG contribution to the best model's decisions." title="Figure 12. Feature-domain importance: spatial vs. frequency vs. colour vs. HOG contribution to the best model's decis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619500" cy="2409825"/>
                    </a:xfrm>
                    <a:prstGeom prst="rect">
                      <a:avLst/>
                    </a:prstGeom>
                  </pic:spPr>
                </pic:pic>
              </a:graphicData>
            </a:graphic>
          </wp:inline>
        </w:drawing>
      </w:r>
    </w:p>
    <w:p>
      <w:pPr>
        <w:spacing w:after="240" w:before="80"/>
        <w:jc w:val="center"/>
      </w:pPr>
      <w:r>
        <w:rPr>
          <w:i/>
          <w:iCs/>
          <w:sz w:val="20"/>
          <w:szCs w:val="20"/>
        </w:rPr>
        <w:t xml:space="preserve">Figure 12. Feature-domain importance: spatial vs. frequency vs. colour vs. HOG contribution to the best model's decisions.</w:t>
      </w:r>
    </w:p>
    <w:p>
      <w:pPr>
        <w:spacing w:after="160"/>
        <w:jc w:val="both"/>
      </w:pPr>
      <w:r>
        <w:rPr>
          <w:b w:val="false"/>
          <w:bCs w:val="false"/>
          <w:i w:val="false"/>
          <w:iCs w:val="false"/>
        </w:rPr>
        <w:t xml:space="preserve">A re-run of the identical pipeline on the newest localisation-aligned dataset (external_datasets/super_yolo_dataset) keeps XGBoost as the best model but at a lower accuracy of 0.5408 and macro-F1 of 0.3691; the test split for this rerun is imbalanced (as few as 9 glass boxes in the test set), so this number is reported as current-dataset evidence rather than a clean balanced benchmark, and the macro-F1 in particular should not be read as directly comparable to Table 8.</w:t>
      </w:r>
    </w:p>
    <w:p>
      <w:pPr>
        <w:pStyle w:val="Heading3"/>
      </w:pPr>
      <w:r>
        <w:t xml:space="preserve">8.1.1 PCA Dimensionality Sweep</w:t>
      </w:r>
    </w:p>
    <w:p>
      <w:pPr>
        <w:spacing w:after="160"/>
        <w:jc w:val="both"/>
      </w:pPr>
      <w:r>
        <w:rPr>
          <w:b w:val="false"/>
          <w:bCs w:val="false"/>
          <w:i w:val="false"/>
          <w:iCs w:val="false"/>
        </w:rPr>
        <w:t xml:space="preserve">A controlled sweep retrained the classical models at nine feature dimensions between 16 and 637. Table 9 gives the headline comparison used in this report: Linear SVM loses 2.52 percentage points of accuracy when compressed from 637 to 128 dimensions (99.90% of variance retained), while Logistic Regression loses only 0.62 points at the same compression - so the honest claim is model-specific, not a single "PCA costs about 2%" statement, which is exactly the cherry-picking failure documented in Section 9 (Failure F3).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60"/>
        <w:gridCol w:w="1900"/>
        <w:gridCol w:w="1750"/>
        <w:gridCol w:w="1750"/>
      </w:tblGrid>
      <w:tr>
        <w:trPr>
          <w:tblHeader/>
        </w:trPr>
        <w:tc>
          <w:tcPr>
            <w:tcW w:type="dxa" w:w="2400"/>
            <w:tcBorders>
              <w:top w:val="single" w:color="B0B7C3" w:sz="1"/>
              <w:left w:val="single" w:color="B0B7C3" w:sz="1"/>
              <w:bottom w:val="single" w:color="B0B7C3" w:sz="1"/>
              <w:right w:val="single" w:color="B0B7C3" w:sz="1"/>
            </w:tcBorders>
            <w:shd w:fill="1F2937" w:val="clear"/>
            <w:tcMar>
              <w:top w:type="dxa" w:w="80"/>
              <w:left w:type="dxa" w:w="120"/>
              <w:bottom w:type="dxa" w:w="80"/>
              <w:right w:type="dxa" w:w="120"/>
            </w:tcMar>
            <w:vAlign w:val="center"/>
          </w:tcPr>
          <w:p>
            <w:r>
              <w:rPr>
                <w:b/>
                <w:bCs/>
                <w:color w:val="FFFFFF"/>
                <w:sz w:val="19"/>
                <w:szCs w:val="19"/>
              </w:rPr>
              <w:t xml:space="preserve">Model</w:t>
            </w:r>
          </w:p>
        </w:tc>
        <w:tc>
          <w:tcPr>
            <w:tcW w:type="dxa" w:w="1560"/>
            <w:tcBorders>
              <w:top w:val="single" w:color="B0B7C3" w:sz="1"/>
              <w:left w:val="single" w:color="B0B7C3" w:sz="1"/>
              <w:bottom w:val="single" w:color="B0B7C3" w:sz="1"/>
              <w:right w:val="single" w:color="B0B7C3" w:sz="1"/>
            </w:tcBorders>
            <w:shd w:fill="1F2937" w:val="clear"/>
            <w:tcMar>
              <w:top w:type="dxa" w:w="80"/>
              <w:left w:type="dxa" w:w="120"/>
              <w:bottom w:type="dxa" w:w="80"/>
              <w:right w:type="dxa" w:w="120"/>
            </w:tcMar>
            <w:vAlign w:val="center"/>
          </w:tcPr>
          <w:p>
            <w:r>
              <w:rPr>
                <w:b/>
                <w:bCs/>
                <w:color w:val="FFFFFF"/>
                <w:sz w:val="19"/>
                <w:szCs w:val="19"/>
              </w:rPr>
              <w:t xml:space="preserve">Components</w:t>
            </w:r>
          </w:p>
        </w:tc>
        <w:tc>
          <w:tcPr>
            <w:tcW w:type="dxa" w:w="1900"/>
            <w:tcBorders>
              <w:top w:val="single" w:color="B0B7C3" w:sz="1"/>
              <w:left w:val="single" w:color="B0B7C3" w:sz="1"/>
              <w:bottom w:val="single" w:color="B0B7C3" w:sz="1"/>
              <w:right w:val="single" w:color="B0B7C3" w:sz="1"/>
            </w:tcBorders>
            <w:shd w:fill="1F2937" w:val="clear"/>
            <w:tcMar>
              <w:top w:type="dxa" w:w="80"/>
              <w:left w:type="dxa" w:w="120"/>
              <w:bottom w:type="dxa" w:w="80"/>
              <w:right w:type="dxa" w:w="120"/>
            </w:tcMar>
            <w:vAlign w:val="center"/>
          </w:tcPr>
          <w:p>
            <w:r>
              <w:rPr>
                <w:b/>
                <w:bCs/>
                <w:color w:val="FFFFFF"/>
                <w:sz w:val="19"/>
                <w:szCs w:val="19"/>
              </w:rPr>
              <w:t xml:space="preserve">Explained variance</w:t>
            </w:r>
          </w:p>
        </w:tc>
        <w:tc>
          <w:tcPr>
            <w:tcW w:type="dxa" w:w="1750"/>
            <w:tcBorders>
              <w:top w:val="single" w:color="B0B7C3" w:sz="1"/>
              <w:left w:val="single" w:color="B0B7C3" w:sz="1"/>
              <w:bottom w:val="single" w:color="B0B7C3" w:sz="1"/>
              <w:right w:val="single" w:color="B0B7C3" w:sz="1"/>
            </w:tcBorders>
            <w:shd w:fill="1F2937" w:val="clear"/>
            <w:tcMar>
              <w:top w:type="dxa" w:w="80"/>
              <w:left w:type="dxa" w:w="120"/>
              <w:bottom w:type="dxa" w:w="80"/>
              <w:right w:type="dxa" w:w="120"/>
            </w:tcMar>
            <w:vAlign w:val="center"/>
          </w:tcPr>
          <w:p>
            <w:r>
              <w:rPr>
                <w:b/>
                <w:bCs/>
                <w:color w:val="FFFFFF"/>
                <w:sz w:val="19"/>
                <w:szCs w:val="19"/>
              </w:rPr>
              <w:t xml:space="preserve">Accuracy</w:t>
            </w:r>
          </w:p>
        </w:tc>
        <w:tc>
          <w:tcPr>
            <w:tcW w:type="dxa" w:w="1750"/>
            <w:tcBorders>
              <w:top w:val="single" w:color="B0B7C3" w:sz="1"/>
              <w:left w:val="single" w:color="B0B7C3" w:sz="1"/>
              <w:bottom w:val="single" w:color="B0B7C3" w:sz="1"/>
              <w:right w:val="single" w:color="B0B7C3" w:sz="1"/>
            </w:tcBorders>
            <w:shd w:fill="1F2937" w:val="clear"/>
            <w:tcMar>
              <w:top w:type="dxa" w:w="80"/>
              <w:left w:type="dxa" w:w="120"/>
              <w:bottom w:type="dxa" w:w="80"/>
              <w:right w:type="dxa" w:w="120"/>
            </w:tcMar>
            <w:vAlign w:val="center"/>
          </w:tcPr>
          <w:p>
            <w:r>
              <w:rPr>
                <w:b/>
                <w:bCs/>
                <w:color w:val="FFFFFF"/>
                <w:sz w:val="19"/>
                <w:szCs w:val="19"/>
              </w:rPr>
              <w:t xml:space="preserve">Macro-F1</w:t>
            </w:r>
          </w:p>
        </w:tc>
      </w:tr>
      <w:tr>
        <w:tc>
          <w:tcPr>
            <w:tcW w:type="dxa" w:w="2400"/>
            <w:tcBorders>
              <w:top w:val="single" w:color="B0B7C3" w:sz="1"/>
              <w:left w:val="single" w:color="B0B7C3" w:sz="1"/>
              <w:bottom w:val="single" w:color="B0B7C3" w:sz="1"/>
              <w:right w:val="single" w:color="B0B7C3" w:sz="1"/>
            </w:tcBorders>
            <w:shd w:fill="F8FAFC" w:val="clear"/>
            <w:tcMar>
              <w:top w:type="dxa" w:w="60"/>
              <w:left w:type="dxa" w:w="120"/>
              <w:bottom w:type="dxa" w:w="60"/>
              <w:right w:type="dxa" w:w="120"/>
            </w:tcMar>
            <w:vAlign w:val="center"/>
          </w:tcPr>
          <w:p>
            <w:r>
              <w:rPr>
                <w:b w:val="false"/>
                <w:bCs w:val="false"/>
                <w:sz w:val="19"/>
                <w:szCs w:val="19"/>
              </w:rPr>
              <w:t xml:space="preserve">Linear SVM</w:t>
            </w:r>
          </w:p>
        </w:tc>
        <w:tc>
          <w:tcPr>
            <w:tcW w:type="dxa" w:w="1560"/>
            <w:tcBorders>
              <w:top w:val="single" w:color="B0B7C3" w:sz="1"/>
              <w:left w:val="single" w:color="B0B7C3" w:sz="1"/>
              <w:bottom w:val="single" w:color="B0B7C3" w:sz="1"/>
              <w:right w:val="single" w:color="B0B7C3" w:sz="1"/>
            </w:tcBorders>
            <w:shd w:fill="F8FAFC" w:val="clear"/>
            <w:tcMar>
              <w:top w:type="dxa" w:w="60"/>
              <w:left w:type="dxa" w:w="120"/>
              <w:bottom w:type="dxa" w:w="60"/>
              <w:right w:type="dxa" w:w="120"/>
            </w:tcMar>
            <w:vAlign w:val="center"/>
          </w:tcPr>
          <w:p>
            <w:r>
              <w:rPr>
                <w:b w:val="false"/>
                <w:bCs w:val="false"/>
                <w:sz w:val="19"/>
                <w:szCs w:val="19"/>
              </w:rPr>
              <w:t xml:space="preserve">637</w:t>
            </w:r>
          </w:p>
        </w:tc>
        <w:tc>
          <w:tcPr>
            <w:tcW w:type="dxa" w:w="1900"/>
            <w:tcBorders>
              <w:top w:val="single" w:color="B0B7C3" w:sz="1"/>
              <w:left w:val="single" w:color="B0B7C3" w:sz="1"/>
              <w:bottom w:val="single" w:color="B0B7C3" w:sz="1"/>
              <w:right w:val="single" w:color="B0B7C3" w:sz="1"/>
            </w:tcBorders>
            <w:shd w:fill="F8FAFC" w:val="clear"/>
            <w:tcMar>
              <w:top w:type="dxa" w:w="60"/>
              <w:left w:type="dxa" w:w="120"/>
              <w:bottom w:type="dxa" w:w="60"/>
              <w:right w:type="dxa" w:w="120"/>
            </w:tcMar>
            <w:vAlign w:val="center"/>
          </w:tcPr>
          <w:p>
            <w:r>
              <w:rPr>
                <w:b w:val="false"/>
                <w:bCs w:val="false"/>
                <w:sz w:val="19"/>
                <w:szCs w:val="19"/>
              </w:rPr>
              <w:t xml:space="preserve">100.00%</w:t>
            </w:r>
          </w:p>
        </w:tc>
        <w:tc>
          <w:tcPr>
            <w:tcW w:type="dxa" w:w="1750"/>
            <w:tcBorders>
              <w:top w:val="single" w:color="B0B7C3" w:sz="1"/>
              <w:left w:val="single" w:color="B0B7C3" w:sz="1"/>
              <w:bottom w:val="single" w:color="B0B7C3" w:sz="1"/>
              <w:right w:val="single" w:color="B0B7C3" w:sz="1"/>
            </w:tcBorders>
            <w:shd w:fill="F8FAFC" w:val="clear"/>
            <w:tcMar>
              <w:top w:type="dxa" w:w="60"/>
              <w:left w:type="dxa" w:w="120"/>
              <w:bottom w:type="dxa" w:w="60"/>
              <w:right w:type="dxa" w:w="120"/>
            </w:tcMar>
            <w:vAlign w:val="center"/>
          </w:tcPr>
          <w:p>
            <w:r>
              <w:rPr>
                <w:b w:val="false"/>
                <w:bCs w:val="false"/>
                <w:sz w:val="19"/>
                <w:szCs w:val="19"/>
              </w:rPr>
              <w:t xml:space="preserve">62.43%</w:t>
            </w:r>
          </w:p>
        </w:tc>
        <w:tc>
          <w:tcPr>
            <w:tcW w:type="dxa" w:w="1750"/>
            <w:tcBorders>
              <w:top w:val="single" w:color="B0B7C3" w:sz="1"/>
              <w:left w:val="single" w:color="B0B7C3" w:sz="1"/>
              <w:bottom w:val="single" w:color="B0B7C3" w:sz="1"/>
              <w:right w:val="single" w:color="B0B7C3" w:sz="1"/>
            </w:tcBorders>
            <w:shd w:fill="F8FAFC" w:val="clear"/>
            <w:tcMar>
              <w:top w:type="dxa" w:w="60"/>
              <w:left w:type="dxa" w:w="120"/>
              <w:bottom w:type="dxa" w:w="60"/>
              <w:right w:type="dxa" w:w="120"/>
            </w:tcMar>
            <w:vAlign w:val="center"/>
          </w:tcPr>
          <w:p>
            <w:r>
              <w:rPr>
                <w:b w:val="false"/>
                <w:bCs w:val="false"/>
                <w:sz w:val="19"/>
                <w:szCs w:val="19"/>
              </w:rPr>
              <w:t xml:space="preserve">0.6235</w:t>
            </w:r>
          </w:p>
        </w:tc>
      </w:tr>
      <w:tr>
        <w:tc>
          <w:tcPr>
            <w:tcW w:type="dxa" w:w="2400"/>
            <w:tcBorders>
              <w:top w:val="single" w:color="B0B7C3" w:sz="1"/>
              <w:left w:val="single" w:color="B0B7C3" w:sz="1"/>
              <w:bottom w:val="single" w:color="B0B7C3" w:sz="1"/>
              <w:right w:val="single" w:color="B0B7C3" w:sz="1"/>
            </w:tcBorders>
            <w:shd w:fill="FFFFFF" w:val="clear"/>
            <w:tcMar>
              <w:top w:type="dxa" w:w="60"/>
              <w:left w:type="dxa" w:w="120"/>
              <w:bottom w:type="dxa" w:w="60"/>
              <w:right w:type="dxa" w:w="120"/>
            </w:tcMar>
            <w:vAlign w:val="center"/>
          </w:tcPr>
          <w:p>
            <w:r>
              <w:rPr>
                <w:b w:val="false"/>
                <w:bCs w:val="false"/>
                <w:sz w:val="19"/>
                <w:szCs w:val="19"/>
              </w:rPr>
              <w:t xml:space="preserve">Linear SVM</w:t>
            </w:r>
          </w:p>
        </w:tc>
        <w:tc>
          <w:tcPr>
            <w:tcW w:type="dxa" w:w="1560"/>
            <w:tcBorders>
              <w:top w:val="single" w:color="B0B7C3" w:sz="1"/>
              <w:left w:val="single" w:color="B0B7C3" w:sz="1"/>
              <w:bottom w:val="single" w:color="B0B7C3" w:sz="1"/>
              <w:right w:val="single" w:color="B0B7C3" w:sz="1"/>
            </w:tcBorders>
            <w:shd w:fill="FFFFFF" w:val="clear"/>
            <w:tcMar>
              <w:top w:type="dxa" w:w="60"/>
              <w:left w:type="dxa" w:w="120"/>
              <w:bottom w:type="dxa" w:w="60"/>
              <w:right w:type="dxa" w:w="120"/>
            </w:tcMar>
            <w:vAlign w:val="center"/>
          </w:tcPr>
          <w:p>
            <w:r>
              <w:rPr>
                <w:b w:val="false"/>
                <w:bCs w:val="false"/>
                <w:sz w:val="19"/>
                <w:szCs w:val="19"/>
              </w:rPr>
              <w:t xml:space="preserve">128</w:t>
            </w:r>
          </w:p>
        </w:tc>
        <w:tc>
          <w:tcPr>
            <w:tcW w:type="dxa" w:w="1900"/>
            <w:tcBorders>
              <w:top w:val="single" w:color="B0B7C3" w:sz="1"/>
              <w:left w:val="single" w:color="B0B7C3" w:sz="1"/>
              <w:bottom w:val="single" w:color="B0B7C3" w:sz="1"/>
              <w:right w:val="single" w:color="B0B7C3" w:sz="1"/>
            </w:tcBorders>
            <w:shd w:fill="FFFFFF" w:val="clear"/>
            <w:tcMar>
              <w:top w:type="dxa" w:w="60"/>
              <w:left w:type="dxa" w:w="120"/>
              <w:bottom w:type="dxa" w:w="60"/>
              <w:right w:type="dxa" w:w="120"/>
            </w:tcMar>
            <w:vAlign w:val="center"/>
          </w:tcPr>
          <w:p>
            <w:r>
              <w:rPr>
                <w:b w:val="false"/>
                <w:bCs w:val="false"/>
                <w:sz w:val="19"/>
                <w:szCs w:val="19"/>
              </w:rPr>
              <w:t xml:space="preserve">99.90%</w:t>
            </w:r>
          </w:p>
        </w:tc>
        <w:tc>
          <w:tcPr>
            <w:tcW w:type="dxa" w:w="1750"/>
            <w:tcBorders>
              <w:top w:val="single" w:color="B0B7C3" w:sz="1"/>
              <w:left w:val="single" w:color="B0B7C3" w:sz="1"/>
              <w:bottom w:val="single" w:color="B0B7C3" w:sz="1"/>
              <w:right w:val="single" w:color="B0B7C3" w:sz="1"/>
            </w:tcBorders>
            <w:shd w:fill="FFFFFF" w:val="clear"/>
            <w:tcMar>
              <w:top w:type="dxa" w:w="60"/>
              <w:left w:type="dxa" w:w="120"/>
              <w:bottom w:type="dxa" w:w="60"/>
              <w:right w:type="dxa" w:w="120"/>
            </w:tcMar>
            <w:vAlign w:val="center"/>
          </w:tcPr>
          <w:p>
            <w:r>
              <w:rPr>
                <w:b w:val="false"/>
                <w:bCs w:val="false"/>
                <w:sz w:val="19"/>
                <w:szCs w:val="19"/>
              </w:rPr>
              <w:t xml:space="preserve">59.90%</w:t>
            </w:r>
          </w:p>
        </w:tc>
        <w:tc>
          <w:tcPr>
            <w:tcW w:type="dxa" w:w="1750"/>
            <w:tcBorders>
              <w:top w:val="single" w:color="B0B7C3" w:sz="1"/>
              <w:left w:val="single" w:color="B0B7C3" w:sz="1"/>
              <w:bottom w:val="single" w:color="B0B7C3" w:sz="1"/>
              <w:right w:val="single" w:color="B0B7C3" w:sz="1"/>
            </w:tcBorders>
            <w:shd w:fill="FFFFFF" w:val="clear"/>
            <w:tcMar>
              <w:top w:type="dxa" w:w="60"/>
              <w:left w:type="dxa" w:w="120"/>
              <w:bottom w:type="dxa" w:w="60"/>
              <w:right w:type="dxa" w:w="120"/>
            </w:tcMar>
            <w:vAlign w:val="center"/>
          </w:tcPr>
          <w:p>
            <w:r>
              <w:rPr>
                <w:b w:val="false"/>
                <w:bCs w:val="false"/>
                <w:sz w:val="19"/>
                <w:szCs w:val="19"/>
              </w:rPr>
              <w:t xml:space="preserve">0.5947</w:t>
            </w:r>
          </w:p>
        </w:tc>
      </w:tr>
      <w:tr>
        <w:tc>
          <w:tcPr>
            <w:tcW w:type="dxa" w:w="2400"/>
            <w:tcBorders>
              <w:top w:val="single" w:color="B0B7C3" w:sz="1"/>
              <w:left w:val="single" w:color="B0B7C3" w:sz="1"/>
              <w:bottom w:val="single" w:color="B0B7C3" w:sz="1"/>
              <w:right w:val="single" w:color="B0B7C3" w:sz="1"/>
            </w:tcBorders>
            <w:shd w:fill="F8FAFC" w:val="clear"/>
            <w:tcMar>
              <w:top w:type="dxa" w:w="60"/>
              <w:left w:type="dxa" w:w="120"/>
              <w:bottom w:type="dxa" w:w="60"/>
              <w:right w:type="dxa" w:w="120"/>
            </w:tcMar>
            <w:vAlign w:val="center"/>
          </w:tcPr>
          <w:p>
            <w:r>
              <w:rPr>
                <w:b w:val="false"/>
                <w:bCs w:val="false"/>
                <w:sz w:val="19"/>
                <w:szCs w:val="19"/>
              </w:rPr>
              <w:t xml:space="preserve">Logistic Regression</w:t>
            </w:r>
          </w:p>
        </w:tc>
        <w:tc>
          <w:tcPr>
            <w:tcW w:type="dxa" w:w="1560"/>
            <w:tcBorders>
              <w:top w:val="single" w:color="B0B7C3" w:sz="1"/>
              <w:left w:val="single" w:color="B0B7C3" w:sz="1"/>
              <w:bottom w:val="single" w:color="B0B7C3" w:sz="1"/>
              <w:right w:val="single" w:color="B0B7C3" w:sz="1"/>
            </w:tcBorders>
            <w:shd w:fill="F8FAFC" w:val="clear"/>
            <w:tcMar>
              <w:top w:type="dxa" w:w="60"/>
              <w:left w:type="dxa" w:w="120"/>
              <w:bottom w:type="dxa" w:w="60"/>
              <w:right w:type="dxa" w:w="120"/>
            </w:tcMar>
            <w:vAlign w:val="center"/>
          </w:tcPr>
          <w:p>
            <w:r>
              <w:rPr>
                <w:b w:val="false"/>
                <w:bCs w:val="false"/>
                <w:sz w:val="19"/>
                <w:szCs w:val="19"/>
              </w:rPr>
              <w:t xml:space="preserve">637</w:t>
            </w:r>
          </w:p>
        </w:tc>
        <w:tc>
          <w:tcPr>
            <w:tcW w:type="dxa" w:w="1900"/>
            <w:tcBorders>
              <w:top w:val="single" w:color="B0B7C3" w:sz="1"/>
              <w:left w:val="single" w:color="B0B7C3" w:sz="1"/>
              <w:bottom w:val="single" w:color="B0B7C3" w:sz="1"/>
              <w:right w:val="single" w:color="B0B7C3" w:sz="1"/>
            </w:tcBorders>
            <w:shd w:fill="F8FAFC" w:val="clear"/>
            <w:tcMar>
              <w:top w:type="dxa" w:w="60"/>
              <w:left w:type="dxa" w:w="120"/>
              <w:bottom w:type="dxa" w:w="60"/>
              <w:right w:type="dxa" w:w="120"/>
            </w:tcMar>
            <w:vAlign w:val="center"/>
          </w:tcPr>
          <w:p>
            <w:r>
              <w:rPr>
                <w:b w:val="false"/>
                <w:bCs w:val="false"/>
                <w:sz w:val="19"/>
                <w:szCs w:val="19"/>
              </w:rPr>
              <w:t xml:space="preserve">100.00%</w:t>
            </w:r>
          </w:p>
        </w:tc>
        <w:tc>
          <w:tcPr>
            <w:tcW w:type="dxa" w:w="1750"/>
            <w:tcBorders>
              <w:top w:val="single" w:color="B0B7C3" w:sz="1"/>
              <w:left w:val="single" w:color="B0B7C3" w:sz="1"/>
              <w:bottom w:val="single" w:color="B0B7C3" w:sz="1"/>
              <w:right w:val="single" w:color="B0B7C3" w:sz="1"/>
            </w:tcBorders>
            <w:shd w:fill="F8FAFC" w:val="clear"/>
            <w:tcMar>
              <w:top w:type="dxa" w:w="60"/>
              <w:left w:type="dxa" w:w="120"/>
              <w:bottom w:type="dxa" w:w="60"/>
              <w:right w:type="dxa" w:w="120"/>
            </w:tcMar>
            <w:vAlign w:val="center"/>
          </w:tcPr>
          <w:p>
            <w:r>
              <w:rPr>
                <w:b w:val="false"/>
                <w:bCs w:val="false"/>
                <w:sz w:val="19"/>
                <w:szCs w:val="19"/>
              </w:rPr>
              <w:t xml:space="preserve">60.24%</w:t>
            </w:r>
          </w:p>
        </w:tc>
        <w:tc>
          <w:tcPr>
            <w:tcW w:type="dxa" w:w="1750"/>
            <w:tcBorders>
              <w:top w:val="single" w:color="B0B7C3" w:sz="1"/>
              <w:left w:val="single" w:color="B0B7C3" w:sz="1"/>
              <w:bottom w:val="single" w:color="B0B7C3" w:sz="1"/>
              <w:right w:val="single" w:color="B0B7C3" w:sz="1"/>
            </w:tcBorders>
            <w:shd w:fill="F8FAFC" w:val="clear"/>
            <w:tcMar>
              <w:top w:type="dxa" w:w="60"/>
              <w:left w:type="dxa" w:w="120"/>
              <w:bottom w:type="dxa" w:w="60"/>
              <w:right w:type="dxa" w:w="120"/>
            </w:tcMar>
            <w:vAlign w:val="center"/>
          </w:tcPr>
          <w:p>
            <w:r>
              <w:rPr>
                <w:b w:val="false"/>
                <w:bCs w:val="false"/>
                <w:sz w:val="19"/>
                <w:szCs w:val="19"/>
              </w:rPr>
              <w:t xml:space="preserve">0.6019</w:t>
            </w:r>
          </w:p>
        </w:tc>
      </w:tr>
      <w:tr>
        <w:tc>
          <w:tcPr>
            <w:tcW w:type="dxa" w:w="2400"/>
            <w:tcBorders>
              <w:top w:val="single" w:color="B0B7C3" w:sz="1"/>
              <w:left w:val="single" w:color="B0B7C3" w:sz="1"/>
              <w:bottom w:val="single" w:color="B0B7C3" w:sz="1"/>
              <w:right w:val="single" w:color="B0B7C3" w:sz="1"/>
            </w:tcBorders>
            <w:shd w:fill="FFFFFF" w:val="clear"/>
            <w:tcMar>
              <w:top w:type="dxa" w:w="60"/>
              <w:left w:type="dxa" w:w="120"/>
              <w:bottom w:type="dxa" w:w="60"/>
              <w:right w:type="dxa" w:w="120"/>
            </w:tcMar>
            <w:vAlign w:val="center"/>
          </w:tcPr>
          <w:p>
            <w:r>
              <w:rPr>
                <w:b w:val="false"/>
                <w:bCs w:val="false"/>
                <w:sz w:val="19"/>
                <w:szCs w:val="19"/>
              </w:rPr>
              <w:t xml:space="preserve">Logistic Regression</w:t>
            </w:r>
          </w:p>
        </w:tc>
        <w:tc>
          <w:tcPr>
            <w:tcW w:type="dxa" w:w="1560"/>
            <w:tcBorders>
              <w:top w:val="single" w:color="B0B7C3" w:sz="1"/>
              <w:left w:val="single" w:color="B0B7C3" w:sz="1"/>
              <w:bottom w:val="single" w:color="B0B7C3" w:sz="1"/>
              <w:right w:val="single" w:color="B0B7C3" w:sz="1"/>
            </w:tcBorders>
            <w:shd w:fill="FFFFFF" w:val="clear"/>
            <w:tcMar>
              <w:top w:type="dxa" w:w="60"/>
              <w:left w:type="dxa" w:w="120"/>
              <w:bottom w:type="dxa" w:w="60"/>
              <w:right w:type="dxa" w:w="120"/>
            </w:tcMar>
            <w:vAlign w:val="center"/>
          </w:tcPr>
          <w:p>
            <w:r>
              <w:rPr>
                <w:b w:val="false"/>
                <w:bCs w:val="false"/>
                <w:sz w:val="19"/>
                <w:szCs w:val="19"/>
              </w:rPr>
              <w:t xml:space="preserve">128</w:t>
            </w:r>
          </w:p>
        </w:tc>
        <w:tc>
          <w:tcPr>
            <w:tcW w:type="dxa" w:w="1900"/>
            <w:tcBorders>
              <w:top w:val="single" w:color="B0B7C3" w:sz="1"/>
              <w:left w:val="single" w:color="B0B7C3" w:sz="1"/>
              <w:bottom w:val="single" w:color="B0B7C3" w:sz="1"/>
              <w:right w:val="single" w:color="B0B7C3" w:sz="1"/>
            </w:tcBorders>
            <w:shd w:fill="FFFFFF" w:val="clear"/>
            <w:tcMar>
              <w:top w:type="dxa" w:w="60"/>
              <w:left w:type="dxa" w:w="120"/>
              <w:bottom w:type="dxa" w:w="60"/>
              <w:right w:type="dxa" w:w="120"/>
            </w:tcMar>
            <w:vAlign w:val="center"/>
          </w:tcPr>
          <w:p>
            <w:r>
              <w:rPr>
                <w:b w:val="false"/>
                <w:bCs w:val="false"/>
                <w:sz w:val="19"/>
                <w:szCs w:val="19"/>
              </w:rPr>
              <w:t xml:space="preserve">99.90%</w:t>
            </w:r>
          </w:p>
        </w:tc>
        <w:tc>
          <w:tcPr>
            <w:tcW w:type="dxa" w:w="1750"/>
            <w:tcBorders>
              <w:top w:val="single" w:color="B0B7C3" w:sz="1"/>
              <w:left w:val="single" w:color="B0B7C3" w:sz="1"/>
              <w:bottom w:val="single" w:color="B0B7C3" w:sz="1"/>
              <w:right w:val="single" w:color="B0B7C3" w:sz="1"/>
            </w:tcBorders>
            <w:shd w:fill="FFFFFF" w:val="clear"/>
            <w:tcMar>
              <w:top w:type="dxa" w:w="60"/>
              <w:left w:type="dxa" w:w="120"/>
              <w:bottom w:type="dxa" w:w="60"/>
              <w:right w:type="dxa" w:w="120"/>
            </w:tcMar>
            <w:vAlign w:val="center"/>
          </w:tcPr>
          <w:p>
            <w:r>
              <w:rPr>
                <w:b w:val="false"/>
                <w:bCs w:val="false"/>
                <w:sz w:val="19"/>
                <w:szCs w:val="19"/>
              </w:rPr>
              <w:t xml:space="preserve">59.71%</w:t>
            </w:r>
          </w:p>
        </w:tc>
        <w:tc>
          <w:tcPr>
            <w:tcW w:type="dxa" w:w="1750"/>
            <w:tcBorders>
              <w:top w:val="single" w:color="B0B7C3" w:sz="1"/>
              <w:left w:val="single" w:color="B0B7C3" w:sz="1"/>
              <w:bottom w:val="single" w:color="B0B7C3" w:sz="1"/>
              <w:right w:val="single" w:color="B0B7C3" w:sz="1"/>
            </w:tcBorders>
            <w:shd w:fill="FFFFFF" w:val="clear"/>
            <w:tcMar>
              <w:top w:type="dxa" w:w="60"/>
              <w:left w:type="dxa" w:w="120"/>
              <w:bottom w:type="dxa" w:w="60"/>
              <w:right w:type="dxa" w:w="120"/>
            </w:tcMar>
            <w:vAlign w:val="center"/>
          </w:tcPr>
          <w:p>
            <w:r>
              <w:rPr>
                <w:b w:val="false"/>
                <w:bCs w:val="false"/>
                <w:sz w:val="19"/>
                <w:szCs w:val="19"/>
              </w:rPr>
              <w:t xml:space="preserve">0.5954</w:t>
            </w:r>
          </w:p>
        </w:tc>
      </w:tr>
    </w:tbl>
    <w:p>
      <w:pPr>
        <w:spacing w:after="200"/>
      </w:pPr>
    </w:p>
    <w:p>
      <w:pPr>
        <w:spacing w:after="40" w:before="120"/>
        <w:jc w:val="center"/>
      </w:pPr>
      <w:r>
        <w:drawing>
          <wp:inline distT="0" distB="0" distL="0" distR="0">
            <wp:extent cx="5334000" cy="2933700"/>
            <wp:effectExtent t="0" r="0" b="0" l="0"/>
            <wp:docPr id="1" name="Figure 13. Accuracy vs. number of PCA components, best model per dimension." descr="Figure 13. Accuracy vs. number of PCA components, best model per dimension." title="Figure 13. Accuracy vs. number of PCA components, best model per dimen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2933700"/>
                    </a:xfrm>
                    <a:prstGeom prst="rect">
                      <a:avLst/>
                    </a:prstGeom>
                  </pic:spPr>
                </pic:pic>
              </a:graphicData>
            </a:graphic>
          </wp:inline>
        </w:drawing>
      </w:r>
    </w:p>
    <w:p>
      <w:pPr>
        <w:spacing w:after="240" w:before="80"/>
        <w:jc w:val="center"/>
      </w:pPr>
      <w:r>
        <w:rPr>
          <w:i/>
          <w:iCs/>
          <w:sz w:val="20"/>
          <w:szCs w:val="20"/>
        </w:rPr>
        <w:t xml:space="preserve">Figure 13. Accuracy vs. number of PCA components, best model per dimension.</w:t>
      </w:r>
    </w:p>
    <w:p>
      <w:pPr>
        <w:pStyle w:val="Heading2"/>
      </w:pPr>
      <w:r>
        <w:t xml:space="preserve">8.2 Deep Learning Classification Results</w:t>
      </w:r>
    </w:p>
    <w:p>
      <w:pPr>
        <w:spacing w:after="160"/>
        <w:jc w:val="both"/>
      </w:pPr>
      <w:r>
        <w:rPr>
          <w:b w:val="false"/>
          <w:bCs w:val="false"/>
          <w:i w:val="false"/>
          <w:iCs w:val="false"/>
        </w:rPr>
        <w:t xml:space="preserve">Shallow, equal-budget ANN/CNN baselines (5 epochs) were deliberately kept weak as a fair cross-family comparison point at matched training budget, not as a claim that deep learning underperforms classical ML: a properly trained CNN reaches 77-94% elsewhere in this section. A simple 50/50 soft-voting ensemble of a raw-crop CNN and a handcrafted-feature ANN reached 78.69% accuracy and 78.12% macro-F1, evidence of feature complementarity between the two representations rather than a final deployment direction.</w:t>
      </w:r>
    </w:p>
    <w:p>
      <w:pPr>
        <w:spacing w:after="160"/>
        <w:jc w:val="both"/>
      </w:pPr>
      <w:r>
        <w:rPr>
          <w:b w:val="false"/>
          <w:bCs w:val="false"/>
          <w:i w:val="false"/>
          <w:iCs w:val="false"/>
        </w:rPr>
        <w:t xml:space="preserve">A direct architecture comparison for the Stage 2 classifier role (Table 10) motivated the choice of ConvNeXt-Tiny as the backbone that was then extended into the multimodal design of Section 7.3.4.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3060"/>
        <w:gridCol w:w="2100"/>
      </w:tblGrid>
      <w:tr>
        <w:trPr>
          <w:tblHeader/>
        </w:trPr>
        <w:tc>
          <w:tcPr>
            <w:tcW w:type="dxa" w:w="4200"/>
            <w:tcBorders>
              <w:top w:val="single" w:color="B0B7C3" w:sz="1"/>
              <w:left w:val="single" w:color="B0B7C3" w:sz="1"/>
              <w:bottom w:val="single" w:color="B0B7C3" w:sz="1"/>
              <w:right w:val="single" w:color="B0B7C3" w:sz="1"/>
            </w:tcBorders>
            <w:shd w:fill="1F2937" w:val="clear"/>
            <w:tcMar>
              <w:top w:type="dxa" w:w="80"/>
              <w:left w:type="dxa" w:w="120"/>
              <w:bottom w:type="dxa" w:w="80"/>
              <w:right w:type="dxa" w:w="120"/>
            </w:tcMar>
            <w:vAlign w:val="center"/>
          </w:tcPr>
          <w:p>
            <w:r>
              <w:rPr>
                <w:b/>
                <w:bCs/>
                <w:color w:val="FFFFFF"/>
                <w:sz w:val="19"/>
                <w:szCs w:val="19"/>
              </w:rPr>
              <w:t xml:space="preserve">Architecture</w:t>
            </w:r>
          </w:p>
        </w:tc>
        <w:tc>
          <w:tcPr>
            <w:tcW w:type="dxa" w:w="3060"/>
            <w:tcBorders>
              <w:top w:val="single" w:color="B0B7C3" w:sz="1"/>
              <w:left w:val="single" w:color="B0B7C3" w:sz="1"/>
              <w:bottom w:val="single" w:color="B0B7C3" w:sz="1"/>
              <w:right w:val="single" w:color="B0B7C3" w:sz="1"/>
            </w:tcBorders>
            <w:shd w:fill="1F2937" w:val="clear"/>
            <w:tcMar>
              <w:top w:type="dxa" w:w="80"/>
              <w:left w:type="dxa" w:w="120"/>
              <w:bottom w:type="dxa" w:w="80"/>
              <w:right w:type="dxa" w:w="120"/>
            </w:tcMar>
            <w:vAlign w:val="center"/>
          </w:tcPr>
          <w:p>
            <w:r>
              <w:rPr>
                <w:b/>
                <w:bCs/>
                <w:color w:val="FFFFFF"/>
                <w:sz w:val="19"/>
                <w:szCs w:val="19"/>
              </w:rPr>
              <w:t xml:space="preserve">Accuracy</w:t>
            </w:r>
          </w:p>
        </w:tc>
        <w:tc>
          <w:tcPr>
            <w:tcW w:type="dxa" w:w="2100"/>
            <w:tcBorders>
              <w:top w:val="single" w:color="B0B7C3" w:sz="1"/>
              <w:left w:val="single" w:color="B0B7C3" w:sz="1"/>
              <w:bottom w:val="single" w:color="B0B7C3" w:sz="1"/>
              <w:right w:val="single" w:color="B0B7C3" w:sz="1"/>
            </w:tcBorders>
            <w:shd w:fill="1F2937" w:val="clear"/>
            <w:tcMar>
              <w:top w:type="dxa" w:w="80"/>
              <w:left w:type="dxa" w:w="120"/>
              <w:bottom w:type="dxa" w:w="80"/>
              <w:right w:type="dxa" w:w="120"/>
            </w:tcMar>
            <w:vAlign w:val="center"/>
          </w:tcPr>
          <w:p>
            <w:r>
              <w:rPr>
                <w:b/>
                <w:bCs/>
                <w:color w:val="FFFFFF"/>
                <w:sz w:val="19"/>
                <w:szCs w:val="19"/>
              </w:rPr>
              <w:t xml:space="preserve">Model size</w:t>
            </w:r>
          </w:p>
        </w:tc>
      </w:tr>
      <w:tr>
        <w:tc>
          <w:tcPr>
            <w:tcW w:type="dxa" w:w="4200"/>
            <w:tcBorders>
              <w:top w:val="single" w:color="B0B7C3" w:sz="1"/>
              <w:left w:val="single" w:color="B0B7C3" w:sz="1"/>
              <w:bottom w:val="single" w:color="B0B7C3" w:sz="1"/>
              <w:right w:val="single" w:color="B0B7C3" w:sz="1"/>
            </w:tcBorders>
            <w:shd w:fill="F8FAFC" w:val="clear"/>
            <w:tcMar>
              <w:top w:type="dxa" w:w="60"/>
              <w:left w:type="dxa" w:w="120"/>
              <w:bottom w:type="dxa" w:w="60"/>
              <w:right w:type="dxa" w:w="120"/>
            </w:tcMar>
            <w:vAlign w:val="center"/>
          </w:tcPr>
          <w:p>
            <w:r>
              <w:rPr>
                <w:b w:val="false"/>
                <w:bCs w:val="false"/>
                <w:sz w:val="19"/>
                <w:szCs w:val="19"/>
              </w:rPr>
              <w:t xml:space="preserve">EfficientNetB0</w:t>
            </w:r>
          </w:p>
        </w:tc>
        <w:tc>
          <w:tcPr>
            <w:tcW w:type="dxa" w:w="3060"/>
            <w:tcBorders>
              <w:top w:val="single" w:color="B0B7C3" w:sz="1"/>
              <w:left w:val="single" w:color="B0B7C3" w:sz="1"/>
              <w:bottom w:val="single" w:color="B0B7C3" w:sz="1"/>
              <w:right w:val="single" w:color="B0B7C3" w:sz="1"/>
            </w:tcBorders>
            <w:shd w:fill="F8FAFC" w:val="clear"/>
            <w:tcMar>
              <w:top w:type="dxa" w:w="60"/>
              <w:left w:type="dxa" w:w="120"/>
              <w:bottom w:type="dxa" w:w="60"/>
              <w:right w:type="dxa" w:w="120"/>
            </w:tcMar>
            <w:vAlign w:val="center"/>
          </w:tcPr>
          <w:p>
            <w:r>
              <w:rPr>
                <w:b w:val="false"/>
                <w:bCs w:val="false"/>
                <w:sz w:val="19"/>
                <w:szCs w:val="19"/>
              </w:rPr>
              <w:t xml:space="preserve">94.29%</w:t>
            </w:r>
          </w:p>
        </w:tc>
        <w:tc>
          <w:tcPr>
            <w:tcW w:type="dxa" w:w="2100"/>
            <w:tcBorders>
              <w:top w:val="single" w:color="B0B7C3" w:sz="1"/>
              <w:left w:val="single" w:color="B0B7C3" w:sz="1"/>
              <w:bottom w:val="single" w:color="B0B7C3" w:sz="1"/>
              <w:right w:val="single" w:color="B0B7C3" w:sz="1"/>
            </w:tcBorders>
            <w:shd w:fill="F8FAFC" w:val="clear"/>
            <w:tcMar>
              <w:top w:type="dxa" w:w="60"/>
              <w:left w:type="dxa" w:w="120"/>
              <w:bottom w:type="dxa" w:w="60"/>
              <w:right w:type="dxa" w:w="120"/>
            </w:tcMar>
            <w:vAlign w:val="center"/>
          </w:tcPr>
          <w:p>
            <w:r>
              <w:rPr>
                <w:b w:val="false"/>
                <w:bCs w:val="false"/>
                <w:sz w:val="19"/>
                <w:szCs w:val="19"/>
              </w:rPr>
              <w:t xml:space="preserve">29.21 MB</w:t>
            </w:r>
          </w:p>
        </w:tc>
      </w:tr>
      <w:tr>
        <w:tc>
          <w:tcPr>
            <w:tcW w:type="dxa" w:w="4200"/>
            <w:tcBorders>
              <w:top w:val="single" w:color="B0B7C3" w:sz="1"/>
              <w:left w:val="single" w:color="B0B7C3" w:sz="1"/>
              <w:bottom w:val="single" w:color="B0B7C3" w:sz="1"/>
              <w:right w:val="single" w:color="B0B7C3" w:sz="1"/>
            </w:tcBorders>
            <w:shd w:fill="FFFFFF" w:val="clear"/>
            <w:tcMar>
              <w:top w:type="dxa" w:w="60"/>
              <w:left w:type="dxa" w:w="120"/>
              <w:bottom w:type="dxa" w:w="60"/>
              <w:right w:type="dxa" w:w="120"/>
            </w:tcMar>
            <w:vAlign w:val="center"/>
          </w:tcPr>
          <w:p>
            <w:r>
              <w:rPr>
                <w:b w:val="false"/>
                <w:bCs w:val="false"/>
                <w:sz w:val="19"/>
                <w:szCs w:val="19"/>
              </w:rPr>
              <w:t xml:space="preserve">ResNet50</w:t>
            </w:r>
          </w:p>
        </w:tc>
        <w:tc>
          <w:tcPr>
            <w:tcW w:type="dxa" w:w="3060"/>
            <w:tcBorders>
              <w:top w:val="single" w:color="B0B7C3" w:sz="1"/>
              <w:left w:val="single" w:color="B0B7C3" w:sz="1"/>
              <w:bottom w:val="single" w:color="B0B7C3" w:sz="1"/>
              <w:right w:val="single" w:color="B0B7C3" w:sz="1"/>
            </w:tcBorders>
            <w:shd w:fill="FFFFFF" w:val="clear"/>
            <w:tcMar>
              <w:top w:type="dxa" w:w="60"/>
              <w:left w:type="dxa" w:w="120"/>
              <w:bottom w:type="dxa" w:w="60"/>
              <w:right w:type="dxa" w:w="120"/>
            </w:tcMar>
            <w:vAlign w:val="center"/>
          </w:tcPr>
          <w:p>
            <w:r>
              <w:rPr>
                <w:b w:val="false"/>
                <w:bCs w:val="false"/>
                <w:sz w:val="19"/>
                <w:szCs w:val="19"/>
              </w:rPr>
              <w:t xml:space="preserve">89.76%</w:t>
            </w:r>
          </w:p>
        </w:tc>
        <w:tc>
          <w:tcPr>
            <w:tcW w:type="dxa" w:w="2100"/>
            <w:tcBorders>
              <w:top w:val="single" w:color="B0B7C3" w:sz="1"/>
              <w:left w:val="single" w:color="B0B7C3" w:sz="1"/>
              <w:bottom w:val="single" w:color="B0B7C3" w:sz="1"/>
              <w:right w:val="single" w:color="B0B7C3" w:sz="1"/>
            </w:tcBorders>
            <w:shd w:fill="FFFFFF" w:val="clear"/>
            <w:tcMar>
              <w:top w:type="dxa" w:w="60"/>
              <w:left w:type="dxa" w:w="120"/>
              <w:bottom w:type="dxa" w:w="60"/>
              <w:right w:type="dxa" w:w="120"/>
            </w:tcMar>
            <w:vAlign w:val="center"/>
          </w:tcPr>
          <w:p>
            <w:r>
              <w:rPr>
                <w:b w:val="false"/>
                <w:bCs w:val="false"/>
                <w:sz w:val="19"/>
                <w:szCs w:val="19"/>
              </w:rPr>
              <w:t xml:space="preserve">-</w:t>
            </w:r>
          </w:p>
        </w:tc>
      </w:tr>
      <w:tr>
        <w:tc>
          <w:tcPr>
            <w:tcW w:type="dxa" w:w="4200"/>
            <w:tcBorders>
              <w:top w:val="single" w:color="B0B7C3" w:sz="1"/>
              <w:left w:val="single" w:color="B0B7C3" w:sz="1"/>
              <w:bottom w:val="single" w:color="B0B7C3" w:sz="1"/>
              <w:right w:val="single" w:color="B0B7C3" w:sz="1"/>
            </w:tcBorders>
            <w:shd w:fill="F8FAFC" w:val="clear"/>
            <w:tcMar>
              <w:top w:type="dxa" w:w="60"/>
              <w:left w:type="dxa" w:w="120"/>
              <w:bottom w:type="dxa" w:w="60"/>
              <w:right w:type="dxa" w:w="120"/>
            </w:tcMar>
            <w:vAlign w:val="center"/>
          </w:tcPr>
          <w:p>
            <w:r>
              <w:rPr>
                <w:b w:val="false"/>
                <w:bCs w:val="false"/>
                <w:sz w:val="19"/>
                <w:szCs w:val="19"/>
              </w:rPr>
              <w:t xml:space="preserve">MobileNetV2</w:t>
            </w:r>
          </w:p>
        </w:tc>
        <w:tc>
          <w:tcPr>
            <w:tcW w:type="dxa" w:w="3060"/>
            <w:tcBorders>
              <w:top w:val="single" w:color="B0B7C3" w:sz="1"/>
              <w:left w:val="single" w:color="B0B7C3" w:sz="1"/>
              <w:bottom w:val="single" w:color="B0B7C3" w:sz="1"/>
              <w:right w:val="single" w:color="B0B7C3" w:sz="1"/>
            </w:tcBorders>
            <w:shd w:fill="F8FAFC" w:val="clear"/>
            <w:tcMar>
              <w:top w:type="dxa" w:w="60"/>
              <w:left w:type="dxa" w:w="120"/>
              <w:bottom w:type="dxa" w:w="60"/>
              <w:right w:type="dxa" w:w="120"/>
            </w:tcMar>
            <w:vAlign w:val="center"/>
          </w:tcPr>
          <w:p>
            <w:r>
              <w:rPr>
                <w:b w:val="false"/>
                <w:bCs w:val="false"/>
                <w:sz w:val="19"/>
                <w:szCs w:val="19"/>
              </w:rPr>
              <w:t xml:space="preserve">85.43%</w:t>
            </w:r>
          </w:p>
        </w:tc>
        <w:tc>
          <w:tcPr>
            <w:tcW w:type="dxa" w:w="2100"/>
            <w:tcBorders>
              <w:top w:val="single" w:color="B0B7C3" w:sz="1"/>
              <w:left w:val="single" w:color="B0B7C3" w:sz="1"/>
              <w:bottom w:val="single" w:color="B0B7C3" w:sz="1"/>
              <w:right w:val="single" w:color="B0B7C3" w:sz="1"/>
            </w:tcBorders>
            <w:shd w:fill="F8FAFC" w:val="clear"/>
            <w:tcMar>
              <w:top w:type="dxa" w:w="60"/>
              <w:left w:type="dxa" w:w="120"/>
              <w:bottom w:type="dxa" w:w="60"/>
              <w:right w:type="dxa" w:w="120"/>
            </w:tcMar>
            <w:vAlign w:val="center"/>
          </w:tcPr>
          <w:p>
            <w:r>
              <w:rPr>
                <w:b w:val="false"/>
                <w:bCs w:val="false"/>
                <w:sz w:val="19"/>
                <w:szCs w:val="19"/>
              </w:rPr>
              <w:t xml:space="preserve">-</w:t>
            </w:r>
          </w:p>
        </w:tc>
      </w:tr>
      <w:tr>
        <w:tc>
          <w:tcPr>
            <w:tcW w:type="dxa" w:w="4200"/>
            <w:tcBorders>
              <w:top w:val="single" w:color="B0B7C3" w:sz="1"/>
              <w:left w:val="single" w:color="B0B7C3" w:sz="1"/>
              <w:bottom w:val="single" w:color="B0B7C3" w:sz="1"/>
              <w:right w:val="single" w:color="B0B7C3" w:sz="1"/>
            </w:tcBorders>
            <w:shd w:fill="FFFFFF" w:val="clear"/>
            <w:tcMar>
              <w:top w:type="dxa" w:w="60"/>
              <w:left w:type="dxa" w:w="120"/>
              <w:bottom w:type="dxa" w:w="60"/>
              <w:right w:type="dxa" w:w="120"/>
            </w:tcMar>
            <w:vAlign w:val="center"/>
          </w:tcPr>
          <w:p>
            <w:r>
              <w:rPr>
                <w:b w:val="false"/>
                <w:bCs w:val="false"/>
                <w:sz w:val="19"/>
                <w:szCs w:val="19"/>
              </w:rPr>
              <w:t xml:space="preserve">ConvNeXt-Tiny (+637 features, final)</w:t>
            </w:r>
          </w:p>
        </w:tc>
        <w:tc>
          <w:tcPr>
            <w:tcW w:type="dxa" w:w="3060"/>
            <w:tcBorders>
              <w:top w:val="single" w:color="B0B7C3" w:sz="1"/>
              <w:left w:val="single" w:color="B0B7C3" w:sz="1"/>
              <w:bottom w:val="single" w:color="B0B7C3" w:sz="1"/>
              <w:right w:val="single" w:color="B0B7C3" w:sz="1"/>
            </w:tcBorders>
            <w:shd w:fill="FFFFFF" w:val="clear"/>
            <w:tcMar>
              <w:top w:type="dxa" w:w="60"/>
              <w:left w:type="dxa" w:w="120"/>
              <w:bottom w:type="dxa" w:w="60"/>
              <w:right w:type="dxa" w:w="120"/>
            </w:tcMar>
            <w:vAlign w:val="center"/>
          </w:tcPr>
          <w:p>
            <w:r>
              <w:rPr>
                <w:b w:val="false"/>
                <w:bCs w:val="false"/>
                <w:sz w:val="19"/>
                <w:szCs w:val="19"/>
              </w:rPr>
              <w:t xml:space="preserve">92.52% val / 93.88% test (hard-case)</w:t>
            </w:r>
          </w:p>
        </w:tc>
        <w:tc>
          <w:tcPr>
            <w:tcW w:type="dxa" w:w="2100"/>
            <w:tcBorders>
              <w:top w:val="single" w:color="B0B7C3" w:sz="1"/>
              <w:left w:val="single" w:color="B0B7C3" w:sz="1"/>
              <w:bottom w:val="single" w:color="B0B7C3" w:sz="1"/>
              <w:right w:val="single" w:color="B0B7C3" w:sz="1"/>
            </w:tcBorders>
            <w:shd w:fill="FFFFFF" w:val="clear"/>
            <w:tcMar>
              <w:top w:type="dxa" w:w="60"/>
              <w:left w:type="dxa" w:w="120"/>
              <w:bottom w:type="dxa" w:w="60"/>
              <w:right w:type="dxa" w:w="120"/>
            </w:tcMar>
            <w:vAlign w:val="center"/>
          </w:tcPr>
          <w:p>
            <w:r>
              <w:rPr>
                <w:b w:val="false"/>
                <w:bCs w:val="false"/>
                <w:sz w:val="19"/>
                <w:szCs w:val="19"/>
              </w:rPr>
              <w:t xml:space="preserve">Exported as unified ONNX</w:t>
            </w:r>
          </w:p>
        </w:tc>
      </w:tr>
    </w:tbl>
    <w:p>
      <w:pPr>
        <w:spacing w:after="200"/>
      </w:pPr>
    </w:p>
    <w:p>
      <w:pPr>
        <w:spacing w:after="40" w:before="120"/>
        <w:jc w:val="center"/>
      </w:pPr>
      <w:r>
        <w:drawing>
          <wp:inline distT="0" distB="0" distL="0" distR="0">
            <wp:extent cx="5905500" cy="1800225"/>
            <wp:effectExtent t="0" r="0" b="0" l="0"/>
            <wp:docPr id="1" name="Figure 14. Confusion matrices for the EfficientNetB0 / MobileNetV2 / ResNet50 architecture comparison." descr="Figure 14. Confusion matrices for the EfficientNetB0 / MobileNetV2 / ResNet50 architecture comparison." title="Figure 14. Confusion matrices for the EfficientNetB0 / MobileNetV2 / ResNet50 architecture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05500" cy="1800225"/>
                    </a:xfrm>
                    <a:prstGeom prst="rect">
                      <a:avLst/>
                    </a:prstGeom>
                  </pic:spPr>
                </pic:pic>
              </a:graphicData>
            </a:graphic>
          </wp:inline>
        </w:drawing>
      </w:r>
    </w:p>
    <w:p>
      <w:pPr>
        <w:spacing w:after="240" w:before="80"/>
        <w:jc w:val="center"/>
      </w:pPr>
      <w:r>
        <w:rPr>
          <w:i/>
          <w:iCs/>
          <w:sz w:val="20"/>
          <w:szCs w:val="20"/>
        </w:rPr>
        <w:t xml:space="preserve">Figure 14. Confusion matrices for the EfficientNetB0 / MobileNetV2 / ResNet50 architecture comparison.</w:t>
      </w:r>
    </w:p>
    <w:p>
      <w:pPr>
        <w:spacing w:after="40" w:before="120"/>
        <w:jc w:val="center"/>
      </w:pPr>
      <w:r>
        <w:drawing>
          <wp:inline distT="0" distB="0" distL="0" distR="0">
            <wp:extent cx="4572000" cy="1905000"/>
            <wp:effectExtent t="0" r="0" b="0" l="0"/>
            <wp:docPr id="1" name="Figure 15. Training loss and accuracy curves, tuned EfficientNetB0 classifier." descr="Figure 15. Training loss and accuracy curves, tuned EfficientNetB0 classifier." title="Figure 15. Training loss and accuracy curves, tuned EfficientNetB0 classif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572000" cy="1905000"/>
                    </a:xfrm>
                    <a:prstGeom prst="rect">
                      <a:avLst/>
                    </a:prstGeom>
                  </pic:spPr>
                </pic:pic>
              </a:graphicData>
            </a:graphic>
          </wp:inline>
        </w:drawing>
      </w:r>
    </w:p>
    <w:p>
      <w:pPr>
        <w:spacing w:after="240" w:before="80"/>
        <w:jc w:val="center"/>
      </w:pPr>
      <w:r>
        <w:rPr>
          <w:i/>
          <w:iCs/>
          <w:sz w:val="20"/>
          <w:szCs w:val="20"/>
        </w:rPr>
        <w:t xml:space="preserve">Figure 15. Training loss and accuracy curves, tuned EfficientNetB0 classifier.</w:t>
      </w:r>
    </w:p>
    <w:p>
      <w:pPr>
        <w:spacing w:after="160"/>
        <w:jc w:val="both"/>
      </w:pPr>
      <w:r>
        <w:rPr>
          <w:b w:val="false"/>
          <w:bCs w:val="false"/>
          <w:i w:val="false"/>
          <w:iCs w:val="false"/>
        </w:rPr>
        <w:t xml:space="preserve">The final deployed classifier generation fuses a ConvNeXt-Tiny image embedding with the standardised 637 handcrafted features inside one network (Section 7.3.4). Trained on merged_dataset_v5 (7,000 balanced train crops, 2,100 validation crops), it reaches 92.52% validation accuracy. Retraining the identical architecture on a hard-case dataset drawn from RealWaste and official TACO crops lifted realistic-imagery robustness to 93.88% test accuracy (0.9398 macro-F1). After the leakage audit (Section 6.4) corrected this to a clean 92.93%, a further train/serve-skew fix (Section 9, Failure F4b) - fine-tuning on a mixture of ground-truth crops and the detector's own predicted crops - raised accuracy on the detector's own crop distribution from 76.91% to 88.88%, while clean-crop accuracy improved further to 93.77%; this last figure is the number the deployed system is actually running.</w:t>
      </w:r>
    </w:p>
    <w:p>
      <w:pPr>
        <w:spacing w:after="40" w:before="120"/>
        <w:jc w:val="center"/>
      </w:pPr>
      <w:r>
        <w:drawing>
          <wp:inline distT="0" distB="0" distL="0" distR="0">
            <wp:extent cx="4381500" cy="2438400"/>
            <wp:effectExtent t="0" r="0" b="0" l="0"/>
            <wp:docPr id="1" name="Figure 16. Summary comparison of the classical ML branch against the deep-learning classification branch." descr="Figure 16. Summary comparison of the classical ML branch against the deep-learning classification branch." title="Figure 16. Summary comparison of the classical ML branch against the deep-learning classification bran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381500" cy="2438400"/>
                    </a:xfrm>
                    <a:prstGeom prst="rect">
                      <a:avLst/>
                    </a:prstGeom>
                  </pic:spPr>
                </pic:pic>
              </a:graphicData>
            </a:graphic>
          </wp:inline>
        </w:drawing>
      </w:r>
    </w:p>
    <w:p>
      <w:pPr>
        <w:spacing w:after="240" w:before="80"/>
        <w:jc w:val="center"/>
      </w:pPr>
      <w:r>
        <w:rPr>
          <w:i/>
          <w:iCs/>
          <w:sz w:val="20"/>
          <w:szCs w:val="20"/>
        </w:rPr>
        <w:t xml:space="preserve">Figure 16. Summary comparison of the classical ML branch against the deep-learning classification branch.</w:t>
      </w:r>
    </w:p>
    <w:p>
      <w:pPr>
        <w:pStyle w:val="Heading2"/>
      </w:pPr>
      <w:r>
        <w:t xml:space="preserve">8.3 Detection and Localisation Results</w:t>
      </w:r>
    </w:p>
    <w:p>
      <w:pPr>
        <w:spacing w:after="160"/>
        <w:jc w:val="both"/>
      </w:pPr>
      <w:r>
        <w:rPr>
          <w:b w:val="false"/>
          <w:bCs w:val="false"/>
          <w:i w:val="false"/>
          <w:iCs w:val="false"/>
        </w:rPr>
        <w:t xml:space="preserve">Table 11 compares the three detector architectures benchmarked in this project on identical data. YOLO26n was retained: the architecture swap alone produced only a marginal gain, and the far larger effect came from training for longer with a cosine learning-rate schedule (Section 9, Failure F4), which is reported honestly rather than attributed to the newer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60"/>
        <w:gridCol w:w="1360"/>
        <w:gridCol w:w="1360"/>
        <w:gridCol w:w="1400"/>
        <w:gridCol w:w="1680"/>
      </w:tblGrid>
      <w:tr>
        <w:trPr>
          <w:tblHeader/>
        </w:trPr>
        <w:tc>
          <w:tcPr>
            <w:tcW w:type="dxa" w:w="3560"/>
            <w:tcBorders>
              <w:top w:val="single" w:color="B0B7C3" w:sz="1"/>
              <w:left w:val="single" w:color="B0B7C3" w:sz="1"/>
              <w:bottom w:val="single" w:color="B0B7C3" w:sz="1"/>
              <w:right w:val="single" w:color="B0B7C3" w:sz="1"/>
            </w:tcBorders>
            <w:shd w:fill="1F2937" w:val="clear"/>
            <w:tcMar>
              <w:top w:type="dxa" w:w="80"/>
              <w:left w:type="dxa" w:w="120"/>
              <w:bottom w:type="dxa" w:w="80"/>
              <w:right w:type="dxa" w:w="120"/>
            </w:tcMar>
            <w:vAlign w:val="center"/>
          </w:tcPr>
          <w:p>
            <w:r>
              <w:rPr>
                <w:b/>
                <w:bCs/>
                <w:color w:val="FFFFFF"/>
                <w:sz w:val="19"/>
                <w:szCs w:val="19"/>
              </w:rPr>
              <w:t xml:space="preserve">Detector</w:t>
            </w:r>
          </w:p>
        </w:tc>
        <w:tc>
          <w:tcPr>
            <w:tcW w:type="dxa" w:w="1360"/>
            <w:tcBorders>
              <w:top w:val="single" w:color="B0B7C3" w:sz="1"/>
              <w:left w:val="single" w:color="B0B7C3" w:sz="1"/>
              <w:bottom w:val="single" w:color="B0B7C3" w:sz="1"/>
              <w:right w:val="single" w:color="B0B7C3" w:sz="1"/>
            </w:tcBorders>
            <w:shd w:fill="1F2937" w:val="clear"/>
            <w:tcMar>
              <w:top w:type="dxa" w:w="80"/>
              <w:left w:type="dxa" w:w="120"/>
              <w:bottom w:type="dxa" w:w="80"/>
              <w:right w:type="dxa" w:w="120"/>
            </w:tcMar>
            <w:vAlign w:val="center"/>
          </w:tcPr>
          <w:p>
            <w:r>
              <w:rPr>
                <w:b/>
                <w:bCs/>
                <w:color w:val="FFFFFF"/>
                <w:sz w:val="19"/>
                <w:szCs w:val="19"/>
              </w:rPr>
              <w:t xml:space="preserve">Precision</w:t>
            </w:r>
          </w:p>
        </w:tc>
        <w:tc>
          <w:tcPr>
            <w:tcW w:type="dxa" w:w="1360"/>
            <w:tcBorders>
              <w:top w:val="single" w:color="B0B7C3" w:sz="1"/>
              <w:left w:val="single" w:color="B0B7C3" w:sz="1"/>
              <w:bottom w:val="single" w:color="B0B7C3" w:sz="1"/>
              <w:right w:val="single" w:color="B0B7C3" w:sz="1"/>
            </w:tcBorders>
            <w:shd w:fill="1F2937" w:val="clear"/>
            <w:tcMar>
              <w:top w:type="dxa" w:w="80"/>
              <w:left w:type="dxa" w:w="120"/>
              <w:bottom w:type="dxa" w:w="80"/>
              <w:right w:type="dxa" w:w="120"/>
            </w:tcMar>
            <w:vAlign w:val="center"/>
          </w:tcPr>
          <w:p>
            <w:r>
              <w:rPr>
                <w:b/>
                <w:bCs/>
                <w:color w:val="FFFFFF"/>
                <w:sz w:val="19"/>
                <w:szCs w:val="19"/>
              </w:rPr>
              <w:t xml:space="preserve">Recall</w:t>
            </w:r>
          </w:p>
        </w:tc>
        <w:tc>
          <w:tcPr>
            <w:tcW w:type="dxa" w:w="1400"/>
            <w:tcBorders>
              <w:top w:val="single" w:color="B0B7C3" w:sz="1"/>
              <w:left w:val="single" w:color="B0B7C3" w:sz="1"/>
              <w:bottom w:val="single" w:color="B0B7C3" w:sz="1"/>
              <w:right w:val="single" w:color="B0B7C3" w:sz="1"/>
            </w:tcBorders>
            <w:shd w:fill="1F2937" w:val="clear"/>
            <w:tcMar>
              <w:top w:type="dxa" w:w="80"/>
              <w:left w:type="dxa" w:w="120"/>
              <w:bottom w:type="dxa" w:w="80"/>
              <w:right w:type="dxa" w:w="120"/>
            </w:tcMar>
            <w:vAlign w:val="center"/>
          </w:tcPr>
          <w:p>
            <w:r>
              <w:rPr>
                <w:b/>
                <w:bCs/>
                <w:color w:val="FFFFFF"/>
                <w:sz w:val="19"/>
                <w:szCs w:val="19"/>
              </w:rPr>
              <w:t xml:space="preserve">mAP50</w:t>
            </w:r>
          </w:p>
        </w:tc>
        <w:tc>
          <w:tcPr>
            <w:tcW w:type="dxa" w:w="1680"/>
            <w:tcBorders>
              <w:top w:val="single" w:color="B0B7C3" w:sz="1"/>
              <w:left w:val="single" w:color="B0B7C3" w:sz="1"/>
              <w:bottom w:val="single" w:color="B0B7C3" w:sz="1"/>
              <w:right w:val="single" w:color="B0B7C3" w:sz="1"/>
            </w:tcBorders>
            <w:shd w:fill="1F2937" w:val="clear"/>
            <w:tcMar>
              <w:top w:type="dxa" w:w="80"/>
              <w:left w:type="dxa" w:w="120"/>
              <w:bottom w:type="dxa" w:w="80"/>
              <w:right w:type="dxa" w:w="120"/>
            </w:tcMar>
            <w:vAlign w:val="center"/>
          </w:tcPr>
          <w:p>
            <w:r>
              <w:rPr>
                <w:b/>
                <w:bCs/>
                <w:color w:val="FFFFFF"/>
                <w:sz w:val="19"/>
                <w:szCs w:val="19"/>
              </w:rPr>
              <w:t xml:space="preserve">mAP50-95</w:t>
            </w:r>
          </w:p>
        </w:tc>
      </w:tr>
      <w:tr>
        <w:tc>
          <w:tcPr>
            <w:tcW w:type="dxa" w:w="3560"/>
            <w:tcBorders>
              <w:top w:val="single" w:color="B0B7C3" w:sz="1"/>
              <w:left w:val="single" w:color="B0B7C3" w:sz="1"/>
              <w:bottom w:val="single" w:color="B0B7C3" w:sz="1"/>
              <w:right w:val="single" w:color="B0B7C3" w:sz="1"/>
            </w:tcBorders>
            <w:shd w:fill="F8FAFC" w:val="clear"/>
            <w:tcMar>
              <w:top w:type="dxa" w:w="60"/>
              <w:left w:type="dxa" w:w="120"/>
              <w:bottom w:type="dxa" w:w="60"/>
              <w:right w:type="dxa" w:w="120"/>
            </w:tcMar>
            <w:vAlign w:val="center"/>
          </w:tcPr>
          <w:p>
            <w:r>
              <w:rPr>
                <w:b w:val="false"/>
                <w:bCs w:val="false"/>
                <w:sz w:val="19"/>
                <w:szCs w:val="19"/>
              </w:rPr>
              <w:t xml:space="preserve">YOLOv8n (tuned dataset)</w:t>
            </w:r>
          </w:p>
        </w:tc>
        <w:tc>
          <w:tcPr>
            <w:tcW w:type="dxa" w:w="1360"/>
            <w:tcBorders>
              <w:top w:val="single" w:color="B0B7C3" w:sz="1"/>
              <w:left w:val="single" w:color="B0B7C3" w:sz="1"/>
              <w:bottom w:val="single" w:color="B0B7C3" w:sz="1"/>
              <w:right w:val="single" w:color="B0B7C3" w:sz="1"/>
            </w:tcBorders>
            <w:shd w:fill="F8FAFC" w:val="clear"/>
            <w:tcMar>
              <w:top w:type="dxa" w:w="60"/>
              <w:left w:type="dxa" w:w="120"/>
              <w:bottom w:type="dxa" w:w="60"/>
              <w:right w:type="dxa" w:w="120"/>
            </w:tcMar>
            <w:vAlign w:val="center"/>
          </w:tcPr>
          <w:p>
            <w:r>
              <w:rPr>
                <w:b w:val="false"/>
                <w:bCs w:val="false"/>
                <w:sz w:val="19"/>
                <w:szCs w:val="19"/>
              </w:rPr>
              <w:t xml:space="preserve">-</w:t>
            </w:r>
          </w:p>
        </w:tc>
        <w:tc>
          <w:tcPr>
            <w:tcW w:type="dxa" w:w="1360"/>
            <w:tcBorders>
              <w:top w:val="single" w:color="B0B7C3" w:sz="1"/>
              <w:left w:val="single" w:color="B0B7C3" w:sz="1"/>
              <w:bottom w:val="single" w:color="B0B7C3" w:sz="1"/>
              <w:right w:val="single" w:color="B0B7C3" w:sz="1"/>
            </w:tcBorders>
            <w:shd w:fill="F8FAFC" w:val="clear"/>
            <w:tcMar>
              <w:top w:type="dxa" w:w="60"/>
              <w:left w:type="dxa" w:w="120"/>
              <w:bottom w:type="dxa" w:w="60"/>
              <w:right w:type="dxa" w:w="120"/>
            </w:tcMar>
            <w:vAlign w:val="center"/>
          </w:tcPr>
          <w:p>
            <w:r>
              <w:rPr>
                <w:b w:val="false"/>
                <w:bCs w:val="false"/>
                <w:sz w:val="19"/>
                <w:szCs w:val="19"/>
              </w:rPr>
              <w:t xml:space="preserve">-</w:t>
            </w:r>
          </w:p>
        </w:tc>
        <w:tc>
          <w:tcPr>
            <w:tcW w:type="dxa" w:w="1400"/>
            <w:tcBorders>
              <w:top w:val="single" w:color="B0B7C3" w:sz="1"/>
              <w:left w:val="single" w:color="B0B7C3" w:sz="1"/>
              <w:bottom w:val="single" w:color="B0B7C3" w:sz="1"/>
              <w:right w:val="single" w:color="B0B7C3" w:sz="1"/>
            </w:tcBorders>
            <w:shd w:fill="F8FAFC" w:val="clear"/>
            <w:tcMar>
              <w:top w:type="dxa" w:w="60"/>
              <w:left w:type="dxa" w:w="120"/>
              <w:bottom w:type="dxa" w:w="60"/>
              <w:right w:type="dxa" w:w="120"/>
            </w:tcMar>
            <w:vAlign w:val="center"/>
          </w:tcPr>
          <w:p>
            <w:r>
              <w:rPr>
                <w:b w:val="false"/>
                <w:bCs w:val="false"/>
                <w:sz w:val="19"/>
                <w:szCs w:val="19"/>
              </w:rPr>
              <w:t xml:space="preserve">-</w:t>
            </w:r>
          </w:p>
        </w:tc>
        <w:tc>
          <w:tcPr>
            <w:tcW w:type="dxa" w:w="1680"/>
            <w:tcBorders>
              <w:top w:val="single" w:color="B0B7C3" w:sz="1"/>
              <w:left w:val="single" w:color="B0B7C3" w:sz="1"/>
              <w:bottom w:val="single" w:color="B0B7C3" w:sz="1"/>
              <w:right w:val="single" w:color="B0B7C3" w:sz="1"/>
            </w:tcBorders>
            <w:shd w:fill="F8FAFC" w:val="clear"/>
            <w:tcMar>
              <w:top w:type="dxa" w:w="60"/>
              <w:left w:type="dxa" w:w="120"/>
              <w:bottom w:type="dxa" w:w="60"/>
              <w:right w:type="dxa" w:w="120"/>
            </w:tcMar>
            <w:vAlign w:val="center"/>
          </w:tcPr>
          <w:p>
            <w:r>
              <w:rPr>
                <w:b w:val="false"/>
                <w:bCs w:val="false"/>
                <w:sz w:val="19"/>
                <w:szCs w:val="19"/>
              </w:rPr>
              <w:t xml:space="preserve">-</w:t>
            </w:r>
          </w:p>
        </w:tc>
      </w:tr>
      <w:tr>
        <w:tc>
          <w:tcPr>
            <w:tcW w:type="dxa" w:w="3560"/>
            <w:tcBorders>
              <w:top w:val="single" w:color="B0B7C3" w:sz="1"/>
              <w:left w:val="single" w:color="B0B7C3" w:sz="1"/>
              <w:bottom w:val="single" w:color="B0B7C3" w:sz="1"/>
              <w:right w:val="single" w:color="B0B7C3" w:sz="1"/>
            </w:tcBorders>
            <w:shd w:fill="FFFFFF" w:val="clear"/>
            <w:tcMar>
              <w:top w:type="dxa" w:w="60"/>
              <w:left w:type="dxa" w:w="120"/>
              <w:bottom w:type="dxa" w:w="60"/>
              <w:right w:type="dxa" w:w="120"/>
            </w:tcMar>
            <w:vAlign w:val="center"/>
          </w:tcPr>
          <w:p>
            <w:r>
              <w:rPr>
                <w:b w:val="false"/>
                <w:bCs w:val="false"/>
                <w:sz w:val="19"/>
                <w:szCs w:val="19"/>
              </w:rPr>
              <w:t xml:space="preserve">YOLOv11 (production baseline)</w:t>
            </w:r>
          </w:p>
        </w:tc>
        <w:tc>
          <w:tcPr>
            <w:tcW w:type="dxa" w:w="1360"/>
            <w:tcBorders>
              <w:top w:val="single" w:color="B0B7C3" w:sz="1"/>
              <w:left w:val="single" w:color="B0B7C3" w:sz="1"/>
              <w:bottom w:val="single" w:color="B0B7C3" w:sz="1"/>
              <w:right w:val="single" w:color="B0B7C3" w:sz="1"/>
            </w:tcBorders>
            <w:shd w:fill="FFFFFF" w:val="clear"/>
            <w:tcMar>
              <w:top w:type="dxa" w:w="60"/>
              <w:left w:type="dxa" w:w="120"/>
              <w:bottom w:type="dxa" w:w="60"/>
              <w:right w:type="dxa" w:w="120"/>
            </w:tcMar>
            <w:vAlign w:val="center"/>
          </w:tcPr>
          <w:p>
            <w:r>
              <w:rPr>
                <w:b w:val="false"/>
                <w:bCs w:val="false"/>
                <w:sz w:val="19"/>
                <w:szCs w:val="19"/>
              </w:rPr>
              <w:t xml:space="preserve">0.745</w:t>
            </w:r>
          </w:p>
        </w:tc>
        <w:tc>
          <w:tcPr>
            <w:tcW w:type="dxa" w:w="1360"/>
            <w:tcBorders>
              <w:top w:val="single" w:color="B0B7C3" w:sz="1"/>
              <w:left w:val="single" w:color="B0B7C3" w:sz="1"/>
              <w:bottom w:val="single" w:color="B0B7C3" w:sz="1"/>
              <w:right w:val="single" w:color="B0B7C3" w:sz="1"/>
            </w:tcBorders>
            <w:shd w:fill="FFFFFF" w:val="clear"/>
            <w:tcMar>
              <w:top w:type="dxa" w:w="60"/>
              <w:left w:type="dxa" w:w="120"/>
              <w:bottom w:type="dxa" w:w="60"/>
              <w:right w:type="dxa" w:w="120"/>
            </w:tcMar>
            <w:vAlign w:val="center"/>
          </w:tcPr>
          <w:p>
            <w:r>
              <w:rPr>
                <w:b w:val="false"/>
                <w:bCs w:val="false"/>
                <w:sz w:val="19"/>
                <w:szCs w:val="19"/>
              </w:rPr>
              <w:t xml:space="preserve">-</w:t>
            </w:r>
          </w:p>
        </w:tc>
        <w:tc>
          <w:tcPr>
            <w:tcW w:type="dxa" w:w="1400"/>
            <w:tcBorders>
              <w:top w:val="single" w:color="B0B7C3" w:sz="1"/>
              <w:left w:val="single" w:color="B0B7C3" w:sz="1"/>
              <w:bottom w:val="single" w:color="B0B7C3" w:sz="1"/>
              <w:right w:val="single" w:color="B0B7C3" w:sz="1"/>
            </w:tcBorders>
            <w:shd w:fill="FFFFFF" w:val="clear"/>
            <w:tcMar>
              <w:top w:type="dxa" w:w="60"/>
              <w:left w:type="dxa" w:w="120"/>
              <w:bottom w:type="dxa" w:w="60"/>
              <w:right w:type="dxa" w:w="120"/>
            </w:tcMar>
            <w:vAlign w:val="center"/>
          </w:tcPr>
          <w:p>
            <w:r>
              <w:rPr>
                <w:b w:val="false"/>
                <w:bCs w:val="false"/>
                <w:sz w:val="19"/>
                <w:szCs w:val="19"/>
              </w:rPr>
              <w:t xml:space="preserve">0.669</w:t>
            </w:r>
          </w:p>
        </w:tc>
        <w:tc>
          <w:tcPr>
            <w:tcW w:type="dxa" w:w="1680"/>
            <w:tcBorders>
              <w:top w:val="single" w:color="B0B7C3" w:sz="1"/>
              <w:left w:val="single" w:color="B0B7C3" w:sz="1"/>
              <w:bottom w:val="single" w:color="B0B7C3" w:sz="1"/>
              <w:right w:val="single" w:color="B0B7C3" w:sz="1"/>
            </w:tcBorders>
            <w:shd w:fill="FFFFFF" w:val="clear"/>
            <w:tcMar>
              <w:top w:type="dxa" w:w="60"/>
              <w:left w:type="dxa" w:w="120"/>
              <w:bottom w:type="dxa" w:w="60"/>
              <w:right w:type="dxa" w:w="120"/>
            </w:tcMar>
            <w:vAlign w:val="center"/>
          </w:tcPr>
          <w:p>
            <w:r>
              <w:rPr>
                <w:b w:val="false"/>
                <w:bCs w:val="false"/>
                <w:sz w:val="19"/>
                <w:szCs w:val="19"/>
              </w:rPr>
              <w:t xml:space="preserve">-</w:t>
            </w:r>
          </w:p>
        </w:tc>
      </w:tr>
      <w:tr>
        <w:tc>
          <w:tcPr>
            <w:tcW w:type="dxa" w:w="3560"/>
            <w:tcBorders>
              <w:top w:val="single" w:color="B0B7C3" w:sz="1"/>
              <w:left w:val="single" w:color="B0B7C3" w:sz="1"/>
              <w:bottom w:val="single" w:color="B0B7C3" w:sz="1"/>
              <w:right w:val="single" w:color="B0B7C3" w:sz="1"/>
            </w:tcBorders>
            <w:shd w:fill="F8FAFC" w:val="clear"/>
            <w:tcMar>
              <w:top w:type="dxa" w:w="60"/>
              <w:left w:type="dxa" w:w="120"/>
              <w:bottom w:type="dxa" w:w="60"/>
              <w:right w:type="dxa" w:w="120"/>
            </w:tcMar>
            <w:vAlign w:val="center"/>
          </w:tcPr>
          <w:p>
            <w:r>
              <w:rPr>
                <w:b w:val="false"/>
                <w:bCs w:val="false"/>
                <w:sz w:val="19"/>
                <w:szCs w:val="19"/>
              </w:rPr>
              <w:t xml:space="preserve">YOLO26n (30-epoch baseline)</w:t>
            </w:r>
          </w:p>
        </w:tc>
        <w:tc>
          <w:tcPr>
            <w:tcW w:type="dxa" w:w="1360"/>
            <w:tcBorders>
              <w:top w:val="single" w:color="B0B7C3" w:sz="1"/>
              <w:left w:val="single" w:color="B0B7C3" w:sz="1"/>
              <w:bottom w:val="single" w:color="B0B7C3" w:sz="1"/>
              <w:right w:val="single" w:color="B0B7C3" w:sz="1"/>
            </w:tcBorders>
            <w:shd w:fill="F8FAFC" w:val="clear"/>
            <w:tcMar>
              <w:top w:type="dxa" w:w="60"/>
              <w:left w:type="dxa" w:w="120"/>
              <w:bottom w:type="dxa" w:w="60"/>
              <w:right w:type="dxa" w:w="120"/>
            </w:tcMar>
            <w:vAlign w:val="center"/>
          </w:tcPr>
          <w:p>
            <w:r>
              <w:rPr>
                <w:b w:val="false"/>
                <w:bCs w:val="false"/>
                <w:sz w:val="19"/>
                <w:szCs w:val="19"/>
              </w:rPr>
              <w:t xml:space="preserve">0.757</w:t>
            </w:r>
          </w:p>
        </w:tc>
        <w:tc>
          <w:tcPr>
            <w:tcW w:type="dxa" w:w="1360"/>
            <w:tcBorders>
              <w:top w:val="single" w:color="B0B7C3" w:sz="1"/>
              <w:left w:val="single" w:color="B0B7C3" w:sz="1"/>
              <w:bottom w:val="single" w:color="B0B7C3" w:sz="1"/>
              <w:right w:val="single" w:color="B0B7C3" w:sz="1"/>
            </w:tcBorders>
            <w:shd w:fill="F8FAFC" w:val="clear"/>
            <w:tcMar>
              <w:top w:type="dxa" w:w="60"/>
              <w:left w:type="dxa" w:w="120"/>
              <w:bottom w:type="dxa" w:w="60"/>
              <w:right w:type="dxa" w:w="120"/>
            </w:tcMar>
            <w:vAlign w:val="center"/>
          </w:tcPr>
          <w:p>
            <w:r>
              <w:rPr>
                <w:b w:val="false"/>
                <w:bCs w:val="false"/>
                <w:sz w:val="19"/>
                <w:szCs w:val="19"/>
              </w:rPr>
              <w:t xml:space="preserve">0.592</w:t>
            </w:r>
          </w:p>
        </w:tc>
        <w:tc>
          <w:tcPr>
            <w:tcW w:type="dxa" w:w="1400"/>
            <w:tcBorders>
              <w:top w:val="single" w:color="B0B7C3" w:sz="1"/>
              <w:left w:val="single" w:color="B0B7C3" w:sz="1"/>
              <w:bottom w:val="single" w:color="B0B7C3" w:sz="1"/>
              <w:right w:val="single" w:color="B0B7C3" w:sz="1"/>
            </w:tcBorders>
            <w:shd w:fill="F8FAFC" w:val="clear"/>
            <w:tcMar>
              <w:top w:type="dxa" w:w="60"/>
              <w:left w:type="dxa" w:w="120"/>
              <w:bottom w:type="dxa" w:w="60"/>
              <w:right w:type="dxa" w:w="120"/>
            </w:tcMar>
            <w:vAlign w:val="center"/>
          </w:tcPr>
          <w:p>
            <w:r>
              <w:rPr>
                <w:b w:val="false"/>
                <w:bCs w:val="false"/>
                <w:sz w:val="19"/>
                <w:szCs w:val="19"/>
              </w:rPr>
              <w:t xml:space="preserve">0.672</w:t>
            </w:r>
          </w:p>
        </w:tc>
        <w:tc>
          <w:tcPr>
            <w:tcW w:type="dxa" w:w="1680"/>
            <w:tcBorders>
              <w:top w:val="single" w:color="B0B7C3" w:sz="1"/>
              <w:left w:val="single" w:color="B0B7C3" w:sz="1"/>
              <w:bottom w:val="single" w:color="B0B7C3" w:sz="1"/>
              <w:right w:val="single" w:color="B0B7C3" w:sz="1"/>
            </w:tcBorders>
            <w:shd w:fill="F8FAFC" w:val="clear"/>
            <w:tcMar>
              <w:top w:type="dxa" w:w="60"/>
              <w:left w:type="dxa" w:w="120"/>
              <w:bottom w:type="dxa" w:w="60"/>
              <w:right w:type="dxa" w:w="120"/>
            </w:tcMar>
            <w:vAlign w:val="center"/>
          </w:tcPr>
          <w:p>
            <w:r>
              <w:rPr>
                <w:b w:val="false"/>
                <w:bCs w:val="false"/>
                <w:sz w:val="19"/>
                <w:szCs w:val="19"/>
              </w:rPr>
              <w:t xml:space="preserve">0.505</w:t>
            </w:r>
          </w:p>
        </w:tc>
      </w:tr>
      <w:tr>
        <w:tc>
          <w:tcPr>
            <w:tcW w:type="dxa" w:w="3560"/>
            <w:tcBorders>
              <w:top w:val="single" w:color="B0B7C3" w:sz="1"/>
              <w:left w:val="single" w:color="B0B7C3" w:sz="1"/>
              <w:bottom w:val="single" w:color="B0B7C3" w:sz="1"/>
              <w:right w:val="single" w:color="B0B7C3" w:sz="1"/>
            </w:tcBorders>
            <w:shd w:fill="FFFFFF" w:val="clear"/>
            <w:tcMar>
              <w:top w:type="dxa" w:w="60"/>
              <w:left w:type="dxa" w:w="120"/>
              <w:bottom w:type="dxa" w:w="60"/>
              <w:right w:type="dxa" w:w="120"/>
            </w:tcMar>
            <w:vAlign w:val="center"/>
          </w:tcPr>
          <w:p>
            <w:r>
              <w:rPr>
                <w:b w:val="false"/>
                <w:bCs w:val="false"/>
                <w:sz w:val="19"/>
                <w:szCs w:val="19"/>
              </w:rPr>
              <w:t xml:space="preserve">YOLO26n (100-epoch retrain, val)</w:t>
            </w:r>
          </w:p>
        </w:tc>
        <w:tc>
          <w:tcPr>
            <w:tcW w:type="dxa" w:w="1360"/>
            <w:tcBorders>
              <w:top w:val="single" w:color="B0B7C3" w:sz="1"/>
              <w:left w:val="single" w:color="B0B7C3" w:sz="1"/>
              <w:bottom w:val="single" w:color="B0B7C3" w:sz="1"/>
              <w:right w:val="single" w:color="B0B7C3" w:sz="1"/>
            </w:tcBorders>
            <w:shd w:fill="FFFFFF" w:val="clear"/>
            <w:tcMar>
              <w:top w:type="dxa" w:w="60"/>
              <w:left w:type="dxa" w:w="120"/>
              <w:bottom w:type="dxa" w:w="60"/>
              <w:right w:type="dxa" w:w="120"/>
            </w:tcMar>
            <w:vAlign w:val="center"/>
          </w:tcPr>
          <w:p>
            <w:r>
              <w:rPr>
                <w:b w:val="false"/>
                <w:bCs w:val="false"/>
                <w:sz w:val="19"/>
                <w:szCs w:val="19"/>
              </w:rPr>
              <w:t xml:space="preserve">0.788</w:t>
            </w:r>
          </w:p>
        </w:tc>
        <w:tc>
          <w:tcPr>
            <w:tcW w:type="dxa" w:w="1360"/>
            <w:tcBorders>
              <w:top w:val="single" w:color="B0B7C3" w:sz="1"/>
              <w:left w:val="single" w:color="B0B7C3" w:sz="1"/>
              <w:bottom w:val="single" w:color="B0B7C3" w:sz="1"/>
              <w:right w:val="single" w:color="B0B7C3" w:sz="1"/>
            </w:tcBorders>
            <w:shd w:fill="FFFFFF" w:val="clear"/>
            <w:tcMar>
              <w:top w:type="dxa" w:w="60"/>
              <w:left w:type="dxa" w:w="120"/>
              <w:bottom w:type="dxa" w:w="60"/>
              <w:right w:type="dxa" w:w="120"/>
            </w:tcMar>
            <w:vAlign w:val="center"/>
          </w:tcPr>
          <w:p>
            <w:r>
              <w:rPr>
                <w:b w:val="false"/>
                <w:bCs w:val="false"/>
                <w:sz w:val="19"/>
                <w:szCs w:val="19"/>
              </w:rPr>
              <w:t xml:space="preserve">0.634</w:t>
            </w:r>
          </w:p>
        </w:tc>
        <w:tc>
          <w:tcPr>
            <w:tcW w:type="dxa" w:w="1400"/>
            <w:tcBorders>
              <w:top w:val="single" w:color="B0B7C3" w:sz="1"/>
              <w:left w:val="single" w:color="B0B7C3" w:sz="1"/>
              <w:bottom w:val="single" w:color="B0B7C3" w:sz="1"/>
              <w:right w:val="single" w:color="B0B7C3" w:sz="1"/>
            </w:tcBorders>
            <w:shd w:fill="FFFFFF" w:val="clear"/>
            <w:tcMar>
              <w:top w:type="dxa" w:w="60"/>
              <w:left w:type="dxa" w:w="120"/>
              <w:bottom w:type="dxa" w:w="60"/>
              <w:right w:type="dxa" w:w="120"/>
            </w:tcMar>
            <w:vAlign w:val="center"/>
          </w:tcPr>
          <w:p>
            <w:r>
              <w:rPr>
                <w:b w:val="false"/>
                <w:bCs w:val="false"/>
                <w:sz w:val="19"/>
                <w:szCs w:val="19"/>
              </w:rPr>
              <w:t xml:space="preserve">0.707</w:t>
            </w:r>
          </w:p>
        </w:tc>
        <w:tc>
          <w:tcPr>
            <w:tcW w:type="dxa" w:w="1680"/>
            <w:tcBorders>
              <w:top w:val="single" w:color="B0B7C3" w:sz="1"/>
              <w:left w:val="single" w:color="B0B7C3" w:sz="1"/>
              <w:bottom w:val="single" w:color="B0B7C3" w:sz="1"/>
              <w:right w:val="single" w:color="B0B7C3" w:sz="1"/>
            </w:tcBorders>
            <w:shd w:fill="FFFFFF" w:val="clear"/>
            <w:tcMar>
              <w:top w:type="dxa" w:w="60"/>
              <w:left w:type="dxa" w:w="120"/>
              <w:bottom w:type="dxa" w:w="60"/>
              <w:right w:type="dxa" w:w="120"/>
            </w:tcMar>
            <w:vAlign w:val="center"/>
          </w:tcPr>
          <w:p>
            <w:r>
              <w:rPr>
                <w:b w:val="false"/>
                <w:bCs w:val="false"/>
                <w:sz w:val="19"/>
                <w:szCs w:val="19"/>
              </w:rPr>
              <w:t xml:space="preserve">0.536</w:t>
            </w:r>
          </w:p>
        </w:tc>
      </w:tr>
      <w:tr>
        <w:tc>
          <w:tcPr>
            <w:tcW w:type="dxa" w:w="3560"/>
            <w:tcBorders>
              <w:top w:val="single" w:color="B0B7C3" w:sz="1"/>
              <w:left w:val="single" w:color="B0B7C3" w:sz="1"/>
              <w:bottom w:val="single" w:color="B0B7C3" w:sz="1"/>
              <w:right w:val="single" w:color="B0B7C3" w:sz="1"/>
            </w:tcBorders>
            <w:shd w:fill="F8FAFC" w:val="clear"/>
            <w:tcMar>
              <w:top w:type="dxa" w:w="60"/>
              <w:left w:type="dxa" w:w="120"/>
              <w:bottom w:type="dxa" w:w="60"/>
              <w:right w:type="dxa" w:w="120"/>
            </w:tcMar>
            <w:vAlign w:val="center"/>
          </w:tcPr>
          <w:p>
            <w:r>
              <w:rPr>
                <w:b w:val="false"/>
                <w:bCs w:val="false"/>
                <w:sz w:val="19"/>
                <w:szCs w:val="19"/>
              </w:rPr>
              <w:t xml:space="preserve">YOLO26n (100-epoch retrain, CLEAN val - deployed)</w:t>
            </w:r>
          </w:p>
        </w:tc>
        <w:tc>
          <w:tcPr>
            <w:tcW w:type="dxa" w:w="1360"/>
            <w:tcBorders>
              <w:top w:val="single" w:color="B0B7C3" w:sz="1"/>
              <w:left w:val="single" w:color="B0B7C3" w:sz="1"/>
              <w:bottom w:val="single" w:color="B0B7C3" w:sz="1"/>
              <w:right w:val="single" w:color="B0B7C3" w:sz="1"/>
            </w:tcBorders>
            <w:shd w:fill="F8FAFC" w:val="clear"/>
            <w:tcMar>
              <w:top w:type="dxa" w:w="60"/>
              <w:left w:type="dxa" w:w="120"/>
              <w:bottom w:type="dxa" w:w="60"/>
              <w:right w:type="dxa" w:w="120"/>
            </w:tcMar>
            <w:vAlign w:val="center"/>
          </w:tcPr>
          <w:p>
            <w:r>
              <w:rPr>
                <w:b w:val="false"/>
                <w:bCs w:val="false"/>
                <w:sz w:val="19"/>
                <w:szCs w:val="19"/>
              </w:rPr>
              <w:t xml:space="preserve">0.777</w:t>
            </w:r>
          </w:p>
        </w:tc>
        <w:tc>
          <w:tcPr>
            <w:tcW w:type="dxa" w:w="1360"/>
            <w:tcBorders>
              <w:top w:val="single" w:color="B0B7C3" w:sz="1"/>
              <w:left w:val="single" w:color="B0B7C3" w:sz="1"/>
              <w:bottom w:val="single" w:color="B0B7C3" w:sz="1"/>
              <w:right w:val="single" w:color="B0B7C3" w:sz="1"/>
            </w:tcBorders>
            <w:shd w:fill="F8FAFC" w:val="clear"/>
            <w:tcMar>
              <w:top w:type="dxa" w:w="60"/>
              <w:left w:type="dxa" w:w="120"/>
              <w:bottom w:type="dxa" w:w="60"/>
              <w:right w:type="dxa" w:w="120"/>
            </w:tcMar>
            <w:vAlign w:val="center"/>
          </w:tcPr>
          <w:p>
            <w:r>
              <w:rPr>
                <w:b w:val="false"/>
                <w:bCs w:val="false"/>
                <w:sz w:val="19"/>
                <w:szCs w:val="19"/>
              </w:rPr>
              <w:t xml:space="preserve">0.650</w:t>
            </w:r>
          </w:p>
        </w:tc>
        <w:tc>
          <w:tcPr>
            <w:tcW w:type="dxa" w:w="1400"/>
            <w:tcBorders>
              <w:top w:val="single" w:color="B0B7C3" w:sz="1"/>
              <w:left w:val="single" w:color="B0B7C3" w:sz="1"/>
              <w:bottom w:val="single" w:color="B0B7C3" w:sz="1"/>
              <w:right w:val="single" w:color="B0B7C3" w:sz="1"/>
            </w:tcBorders>
            <w:shd w:fill="F8FAFC" w:val="clear"/>
            <w:tcMar>
              <w:top w:type="dxa" w:w="60"/>
              <w:left w:type="dxa" w:w="120"/>
              <w:bottom w:type="dxa" w:w="60"/>
              <w:right w:type="dxa" w:w="120"/>
            </w:tcMar>
            <w:vAlign w:val="center"/>
          </w:tcPr>
          <w:p>
            <w:r>
              <w:rPr>
                <w:b w:val="false"/>
                <w:bCs w:val="false"/>
                <w:sz w:val="19"/>
                <w:szCs w:val="19"/>
              </w:rPr>
              <w:t xml:space="preserve">0.721</w:t>
            </w:r>
          </w:p>
        </w:tc>
        <w:tc>
          <w:tcPr>
            <w:tcW w:type="dxa" w:w="1680"/>
            <w:tcBorders>
              <w:top w:val="single" w:color="B0B7C3" w:sz="1"/>
              <w:left w:val="single" w:color="B0B7C3" w:sz="1"/>
              <w:bottom w:val="single" w:color="B0B7C3" w:sz="1"/>
              <w:right w:val="single" w:color="B0B7C3" w:sz="1"/>
            </w:tcBorders>
            <w:shd w:fill="F8FAFC" w:val="clear"/>
            <w:tcMar>
              <w:top w:type="dxa" w:w="60"/>
              <w:left w:type="dxa" w:w="120"/>
              <w:bottom w:type="dxa" w:w="60"/>
              <w:right w:type="dxa" w:w="120"/>
            </w:tcMar>
            <w:vAlign w:val="center"/>
          </w:tcPr>
          <w:p>
            <w:r>
              <w:rPr>
                <w:b w:val="false"/>
                <w:bCs w:val="false"/>
                <w:sz w:val="19"/>
                <w:szCs w:val="19"/>
              </w:rPr>
              <w:t xml:space="preserve">0.542</w:t>
            </w:r>
          </w:p>
        </w:tc>
      </w:tr>
      <w:tr>
        <w:tc>
          <w:tcPr>
            <w:tcW w:type="dxa" w:w="3560"/>
            <w:tcBorders>
              <w:top w:val="single" w:color="B0B7C3" w:sz="1"/>
              <w:left w:val="single" w:color="B0B7C3" w:sz="1"/>
              <w:bottom w:val="single" w:color="B0B7C3" w:sz="1"/>
              <w:right w:val="single" w:color="B0B7C3" w:sz="1"/>
            </w:tcBorders>
            <w:shd w:fill="FFFFFF" w:val="clear"/>
            <w:tcMar>
              <w:top w:type="dxa" w:w="60"/>
              <w:left w:type="dxa" w:w="120"/>
              <w:bottom w:type="dxa" w:w="60"/>
              <w:right w:type="dxa" w:w="120"/>
            </w:tcMar>
            <w:vAlign w:val="center"/>
          </w:tcPr>
          <w:p>
            <w:r>
              <w:rPr>
                <w:b w:val="false"/>
                <w:bCs w:val="false"/>
                <w:sz w:val="19"/>
                <w:szCs w:val="19"/>
              </w:rPr>
              <w:t xml:space="preserve">YOLO26n (retrain, clean TEST - unseen capture batches)</w:t>
            </w:r>
          </w:p>
        </w:tc>
        <w:tc>
          <w:tcPr>
            <w:tcW w:type="dxa" w:w="1360"/>
            <w:tcBorders>
              <w:top w:val="single" w:color="B0B7C3" w:sz="1"/>
              <w:left w:val="single" w:color="B0B7C3" w:sz="1"/>
              <w:bottom w:val="single" w:color="B0B7C3" w:sz="1"/>
              <w:right w:val="single" w:color="B0B7C3" w:sz="1"/>
            </w:tcBorders>
            <w:shd w:fill="FFFFFF" w:val="clear"/>
            <w:tcMar>
              <w:top w:type="dxa" w:w="60"/>
              <w:left w:type="dxa" w:w="120"/>
              <w:bottom w:type="dxa" w:w="60"/>
              <w:right w:type="dxa" w:w="120"/>
            </w:tcMar>
            <w:vAlign w:val="center"/>
          </w:tcPr>
          <w:p>
            <w:r>
              <w:rPr>
                <w:b w:val="false"/>
                <w:bCs w:val="false"/>
                <w:sz w:val="19"/>
                <w:szCs w:val="19"/>
              </w:rPr>
              <w:t xml:space="preserve">0.590</w:t>
            </w:r>
          </w:p>
        </w:tc>
        <w:tc>
          <w:tcPr>
            <w:tcW w:type="dxa" w:w="1360"/>
            <w:tcBorders>
              <w:top w:val="single" w:color="B0B7C3" w:sz="1"/>
              <w:left w:val="single" w:color="B0B7C3" w:sz="1"/>
              <w:bottom w:val="single" w:color="B0B7C3" w:sz="1"/>
              <w:right w:val="single" w:color="B0B7C3" w:sz="1"/>
            </w:tcBorders>
            <w:shd w:fill="FFFFFF" w:val="clear"/>
            <w:tcMar>
              <w:top w:type="dxa" w:w="60"/>
              <w:left w:type="dxa" w:w="120"/>
              <w:bottom w:type="dxa" w:w="60"/>
              <w:right w:type="dxa" w:w="120"/>
            </w:tcMar>
            <w:vAlign w:val="center"/>
          </w:tcPr>
          <w:p>
            <w:r>
              <w:rPr>
                <w:b w:val="false"/>
                <w:bCs w:val="false"/>
                <w:sz w:val="19"/>
                <w:szCs w:val="19"/>
              </w:rPr>
              <w:t xml:space="preserve">0.456</w:t>
            </w:r>
          </w:p>
        </w:tc>
        <w:tc>
          <w:tcPr>
            <w:tcW w:type="dxa" w:w="1400"/>
            <w:tcBorders>
              <w:top w:val="single" w:color="B0B7C3" w:sz="1"/>
              <w:left w:val="single" w:color="B0B7C3" w:sz="1"/>
              <w:bottom w:val="single" w:color="B0B7C3" w:sz="1"/>
              <w:right w:val="single" w:color="B0B7C3" w:sz="1"/>
            </w:tcBorders>
            <w:shd w:fill="FFFFFF" w:val="clear"/>
            <w:tcMar>
              <w:top w:type="dxa" w:w="60"/>
              <w:left w:type="dxa" w:w="120"/>
              <w:bottom w:type="dxa" w:w="60"/>
              <w:right w:type="dxa" w:w="120"/>
            </w:tcMar>
            <w:vAlign w:val="center"/>
          </w:tcPr>
          <w:p>
            <w:r>
              <w:rPr>
                <w:b w:val="false"/>
                <w:bCs w:val="false"/>
                <w:sz w:val="19"/>
                <w:szCs w:val="19"/>
              </w:rPr>
              <w:t xml:space="preserve">0.474</w:t>
            </w:r>
          </w:p>
        </w:tc>
        <w:tc>
          <w:tcPr>
            <w:tcW w:type="dxa" w:w="1680"/>
            <w:tcBorders>
              <w:top w:val="single" w:color="B0B7C3" w:sz="1"/>
              <w:left w:val="single" w:color="B0B7C3" w:sz="1"/>
              <w:bottom w:val="single" w:color="B0B7C3" w:sz="1"/>
              <w:right w:val="single" w:color="B0B7C3" w:sz="1"/>
            </w:tcBorders>
            <w:shd w:fill="FFFFFF" w:val="clear"/>
            <w:tcMar>
              <w:top w:type="dxa" w:w="60"/>
              <w:left w:type="dxa" w:w="120"/>
              <w:bottom w:type="dxa" w:w="60"/>
              <w:right w:type="dxa" w:w="120"/>
            </w:tcMar>
            <w:vAlign w:val="center"/>
          </w:tcPr>
          <w:p>
            <w:r>
              <w:rPr>
                <w:b w:val="false"/>
                <w:bCs w:val="false"/>
                <w:sz w:val="19"/>
                <w:szCs w:val="19"/>
              </w:rPr>
              <w:t xml:space="preserve">0.348</w:t>
            </w:r>
          </w:p>
        </w:tc>
      </w:tr>
    </w:tbl>
    <w:p>
      <w:pPr>
        <w:spacing w:after="200"/>
      </w:pPr>
    </w:p>
    <w:p>
      <w:pPr>
        <w:spacing w:after="40" w:before="120"/>
        <w:jc w:val="center"/>
      </w:pPr>
      <w:r>
        <w:drawing>
          <wp:inline distT="0" distB="0" distL="0" distR="0">
            <wp:extent cx="5334000" cy="2667000"/>
            <wp:effectExtent t="0" r="0" b="0" l="0"/>
            <wp:docPr id="1" name="Figure 17. Training curves (box loss, classification loss, precision, recall, mAP) for the deployed YOLO26n detector." descr="Figure 17. Training curves (box loss, classification loss, precision, recall, mAP) for the deployed YOLO26n detector." title="Figure 17. Training curves (box loss, classification loss, precision, recall, mAP) for the deployed YOLO26n det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34000" cy="2667000"/>
                    </a:xfrm>
                    <a:prstGeom prst="rect">
                      <a:avLst/>
                    </a:prstGeom>
                  </pic:spPr>
                </pic:pic>
              </a:graphicData>
            </a:graphic>
          </wp:inline>
        </w:drawing>
      </w:r>
    </w:p>
    <w:p>
      <w:pPr>
        <w:spacing w:after="240" w:before="80"/>
        <w:jc w:val="center"/>
      </w:pPr>
      <w:r>
        <w:rPr>
          <w:i/>
          <w:iCs/>
          <w:sz w:val="20"/>
          <w:szCs w:val="20"/>
        </w:rPr>
        <w:t xml:space="preserve">Figure 17. Training curves (box loss, classification loss, precision, recall, mAP) for the deployed YOLO26n detector.</w:t>
      </w:r>
    </w:p>
    <w:p>
      <w:pPr>
        <w:spacing w:after="40" w:before="120"/>
        <w:jc w:val="center"/>
      </w:pPr>
      <w:r>
        <w:drawing>
          <wp:inline distT="0" distB="0" distL="0" distR="0">
            <wp:extent cx="3810000" cy="2857500"/>
            <wp:effectExtent t="0" r="0" b="0" l="0"/>
            <wp:docPr id="1" name="Figure 18. Deployed detector confusion matrix (six material classes plus background)." descr="Figure 18. Deployed detector confusion matrix (six material classes plus background)." title="Figure 18. Deployed detector confusion matrix (six material classes plus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810000" cy="2857500"/>
                    </a:xfrm>
                    <a:prstGeom prst="rect">
                      <a:avLst/>
                    </a:prstGeom>
                  </pic:spPr>
                </pic:pic>
              </a:graphicData>
            </a:graphic>
          </wp:inline>
        </w:drawing>
      </w:r>
    </w:p>
    <w:p>
      <w:pPr>
        <w:spacing w:after="240" w:before="80"/>
        <w:jc w:val="center"/>
      </w:pPr>
      <w:r>
        <w:rPr>
          <w:i/>
          <w:iCs/>
          <w:sz w:val="20"/>
          <w:szCs w:val="20"/>
        </w:rPr>
        <w:t xml:space="preserve">Figure 18. Deployed detector confusion matrix (six material classes plus background).</w:t>
      </w:r>
    </w:p>
    <w:p>
      <w:pPr>
        <w:spacing w:after="40" w:before="120"/>
        <w:jc w:val="center"/>
      </w:pPr>
      <w:r>
        <w:drawing>
          <wp:inline distT="0" distB="0" distL="0" distR="0">
            <wp:extent cx="4381500" cy="2924175"/>
            <wp:effectExtent t="0" r="0" b="0" l="0"/>
            <wp:docPr id="1" name="Figure 19. Precision-recall curve, deployed YOLO26n detector." descr="Figure 19. Precision-recall curve, deployed YOLO26n detector." title="Figure 19. Precision-recall curve, deployed YOLO26n det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381500" cy="2924175"/>
                    </a:xfrm>
                    <a:prstGeom prst="rect">
                      <a:avLst/>
                    </a:prstGeom>
                  </pic:spPr>
                </pic:pic>
              </a:graphicData>
            </a:graphic>
          </wp:inline>
        </w:drawing>
      </w:r>
    </w:p>
    <w:p>
      <w:pPr>
        <w:spacing w:after="240" w:before="80"/>
        <w:jc w:val="center"/>
      </w:pPr>
      <w:r>
        <w:rPr>
          <w:i/>
          <w:iCs/>
          <w:sz w:val="20"/>
          <w:szCs w:val="20"/>
        </w:rPr>
        <w:t xml:space="preserve">Figure 19. Precision-recall curve, deployed YOLO26n detector.</w:t>
      </w:r>
    </w:p>
    <w:p>
      <w:pPr>
        <w:spacing w:after="160"/>
        <w:jc w:val="both"/>
      </w:pPr>
      <w:r>
        <w:rPr>
          <w:b w:val="false"/>
          <w:bCs w:val="false"/>
          <w:i w:val="false"/>
          <w:iCs w:val="false"/>
        </w:rPr>
        <w:t xml:space="preserve">The val-to-test gap (mAP50 0.721 clean-val vs. 0.474 clean-test) is honest evidence of batch-level domain shift on genuinely unseen TACO capture sessions rather than a leaked or inflated validation number - the clean validation split is, if anything, slightly harder than the original validation split, since the quarantined images were disproportionately difficult scenes. A confidence-threshold sweep (Table 12) shows the deployed detector's precision/recall operating point is a deliberate, tuned choice rather than a framework default.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360"/>
      </w:tblGrid>
      <w:tr>
        <w:trPr>
          <w:tblHeader/>
        </w:trPr>
        <w:tc>
          <w:tcPr>
            <w:tcW w:type="dxa" w:w="2600"/>
            <w:tcBorders>
              <w:top w:val="single" w:color="B0B7C3" w:sz="1"/>
              <w:left w:val="single" w:color="B0B7C3" w:sz="1"/>
              <w:bottom w:val="single" w:color="B0B7C3" w:sz="1"/>
              <w:right w:val="single" w:color="B0B7C3" w:sz="1"/>
            </w:tcBorders>
            <w:shd w:fill="1F2937" w:val="clear"/>
            <w:tcMar>
              <w:top w:type="dxa" w:w="80"/>
              <w:left w:type="dxa" w:w="120"/>
              <w:bottom w:type="dxa" w:w="80"/>
              <w:right w:type="dxa" w:w="120"/>
            </w:tcMar>
            <w:vAlign w:val="center"/>
          </w:tcPr>
          <w:p>
            <w:r>
              <w:rPr>
                <w:b/>
                <w:bCs/>
                <w:color w:val="FFFFFF"/>
                <w:sz w:val="19"/>
                <w:szCs w:val="19"/>
              </w:rPr>
              <w:t xml:space="preserve">Confidence threshold</w:t>
            </w:r>
          </w:p>
        </w:tc>
        <w:tc>
          <w:tcPr>
            <w:tcW w:type="dxa" w:w="2200"/>
            <w:tcBorders>
              <w:top w:val="single" w:color="B0B7C3" w:sz="1"/>
              <w:left w:val="single" w:color="B0B7C3" w:sz="1"/>
              <w:bottom w:val="single" w:color="B0B7C3" w:sz="1"/>
              <w:right w:val="single" w:color="B0B7C3" w:sz="1"/>
            </w:tcBorders>
            <w:shd w:fill="1F2937" w:val="clear"/>
            <w:tcMar>
              <w:top w:type="dxa" w:w="80"/>
              <w:left w:type="dxa" w:w="120"/>
              <w:bottom w:type="dxa" w:w="80"/>
              <w:right w:type="dxa" w:w="120"/>
            </w:tcMar>
            <w:vAlign w:val="center"/>
          </w:tcPr>
          <w:p>
            <w:r>
              <w:rPr>
                <w:b/>
                <w:bCs/>
                <w:color w:val="FFFFFF"/>
                <w:sz w:val="19"/>
                <w:szCs w:val="19"/>
              </w:rPr>
              <w:t xml:space="preserve">Precision</w:t>
            </w:r>
          </w:p>
        </w:tc>
        <w:tc>
          <w:tcPr>
            <w:tcW w:type="dxa" w:w="2200"/>
            <w:tcBorders>
              <w:top w:val="single" w:color="B0B7C3" w:sz="1"/>
              <w:left w:val="single" w:color="B0B7C3" w:sz="1"/>
              <w:bottom w:val="single" w:color="B0B7C3" w:sz="1"/>
              <w:right w:val="single" w:color="B0B7C3" w:sz="1"/>
            </w:tcBorders>
            <w:shd w:fill="1F2937" w:val="clear"/>
            <w:tcMar>
              <w:top w:type="dxa" w:w="80"/>
              <w:left w:type="dxa" w:w="120"/>
              <w:bottom w:type="dxa" w:w="80"/>
              <w:right w:type="dxa" w:w="120"/>
            </w:tcMar>
            <w:vAlign w:val="center"/>
          </w:tcPr>
          <w:p>
            <w:r>
              <w:rPr>
                <w:b/>
                <w:bCs/>
                <w:color w:val="FFFFFF"/>
                <w:sz w:val="19"/>
                <w:szCs w:val="19"/>
              </w:rPr>
              <w:t xml:space="preserve">Recall</w:t>
            </w:r>
          </w:p>
        </w:tc>
        <w:tc>
          <w:tcPr>
            <w:tcW w:type="dxa" w:w="2360"/>
            <w:tcBorders>
              <w:top w:val="single" w:color="B0B7C3" w:sz="1"/>
              <w:left w:val="single" w:color="B0B7C3" w:sz="1"/>
              <w:bottom w:val="single" w:color="B0B7C3" w:sz="1"/>
              <w:right w:val="single" w:color="B0B7C3" w:sz="1"/>
            </w:tcBorders>
            <w:shd w:fill="1F2937" w:val="clear"/>
            <w:tcMar>
              <w:top w:type="dxa" w:w="80"/>
              <w:left w:type="dxa" w:w="120"/>
              <w:bottom w:type="dxa" w:w="80"/>
              <w:right w:type="dxa" w:w="120"/>
            </w:tcMar>
            <w:vAlign w:val="center"/>
          </w:tcPr>
          <w:p>
            <w:r>
              <w:rPr>
                <w:b/>
                <w:bCs/>
                <w:color w:val="FFFFFF"/>
                <w:sz w:val="19"/>
                <w:szCs w:val="19"/>
              </w:rPr>
              <w:t xml:space="preserve">Notes</w:t>
            </w:r>
          </w:p>
        </w:tc>
      </w:tr>
      <w:tr>
        <w:tc>
          <w:tcPr>
            <w:tcW w:type="dxa" w:w="2600"/>
            <w:tcBorders>
              <w:top w:val="single" w:color="B0B7C3" w:sz="1"/>
              <w:left w:val="single" w:color="B0B7C3" w:sz="1"/>
              <w:bottom w:val="single" w:color="B0B7C3" w:sz="1"/>
              <w:right w:val="single" w:color="B0B7C3" w:sz="1"/>
            </w:tcBorders>
            <w:shd w:fill="F8FAFC" w:val="clear"/>
            <w:tcMar>
              <w:top w:type="dxa" w:w="60"/>
              <w:left w:type="dxa" w:w="120"/>
              <w:bottom w:type="dxa" w:w="60"/>
              <w:right w:type="dxa" w:w="120"/>
            </w:tcMar>
            <w:vAlign w:val="center"/>
          </w:tcPr>
          <w:p>
            <w:r>
              <w:rPr>
                <w:b w:val="false"/>
                <w:bCs w:val="false"/>
                <w:sz w:val="19"/>
                <w:szCs w:val="19"/>
              </w:rPr>
              <w:t xml:space="preserve">0.30 (early default)</w:t>
            </w:r>
          </w:p>
        </w:tc>
        <w:tc>
          <w:tcPr>
            <w:tcW w:type="dxa" w:w="2200"/>
            <w:tcBorders>
              <w:top w:val="single" w:color="B0B7C3" w:sz="1"/>
              <w:left w:val="single" w:color="B0B7C3" w:sz="1"/>
              <w:bottom w:val="single" w:color="B0B7C3" w:sz="1"/>
              <w:right w:val="single" w:color="B0B7C3" w:sz="1"/>
            </w:tcBorders>
            <w:shd w:fill="F8FAFC" w:val="clear"/>
            <w:tcMar>
              <w:top w:type="dxa" w:w="60"/>
              <w:left w:type="dxa" w:w="120"/>
              <w:bottom w:type="dxa" w:w="60"/>
              <w:right w:type="dxa" w:w="120"/>
            </w:tcMar>
            <w:vAlign w:val="center"/>
          </w:tcPr>
          <w:p>
            <w:r>
              <w:rPr>
                <w:b w:val="false"/>
                <w:bCs w:val="false"/>
                <w:sz w:val="19"/>
                <w:szCs w:val="19"/>
              </w:rPr>
              <w:t xml:space="preserve">0.759-0.861</w:t>
            </w:r>
          </w:p>
        </w:tc>
        <w:tc>
          <w:tcPr>
            <w:tcW w:type="dxa" w:w="2200"/>
            <w:tcBorders>
              <w:top w:val="single" w:color="B0B7C3" w:sz="1"/>
              <w:left w:val="single" w:color="B0B7C3" w:sz="1"/>
              <w:bottom w:val="single" w:color="B0B7C3" w:sz="1"/>
              <w:right w:val="single" w:color="B0B7C3" w:sz="1"/>
            </w:tcBorders>
            <w:shd w:fill="F8FAFC" w:val="clear"/>
            <w:tcMar>
              <w:top w:type="dxa" w:w="60"/>
              <w:left w:type="dxa" w:w="120"/>
              <w:bottom w:type="dxa" w:w="60"/>
              <w:right w:type="dxa" w:w="120"/>
            </w:tcMar>
            <w:vAlign w:val="center"/>
          </w:tcPr>
          <w:p>
            <w:r>
              <w:rPr>
                <w:b w:val="false"/>
                <w:bCs w:val="false"/>
                <w:sz w:val="19"/>
                <w:szCs w:val="19"/>
              </w:rPr>
              <w:t xml:space="preserve">0.517-0.592</w:t>
            </w:r>
          </w:p>
        </w:tc>
        <w:tc>
          <w:tcPr>
            <w:tcW w:type="dxa" w:w="2360"/>
            <w:tcBorders>
              <w:top w:val="single" w:color="B0B7C3" w:sz="1"/>
              <w:left w:val="single" w:color="B0B7C3" w:sz="1"/>
              <w:bottom w:val="single" w:color="B0B7C3" w:sz="1"/>
              <w:right w:val="single" w:color="B0B7C3" w:sz="1"/>
            </w:tcBorders>
            <w:shd w:fill="F8FAFC" w:val="clear"/>
            <w:tcMar>
              <w:top w:type="dxa" w:w="60"/>
              <w:left w:type="dxa" w:w="120"/>
              <w:bottom w:type="dxa" w:w="60"/>
              <w:right w:type="dxa" w:w="120"/>
            </w:tcMar>
            <w:vAlign w:val="center"/>
          </w:tcPr>
          <w:p>
            <w:r>
              <w:rPr>
                <w:b w:val="false"/>
                <w:bCs w:val="false"/>
                <w:sz w:val="19"/>
                <w:szCs w:val="19"/>
              </w:rPr>
              <w:t xml:space="preserve">Original untuned operating range.</w:t>
            </w:r>
          </w:p>
        </w:tc>
      </w:tr>
      <w:tr>
        <w:tc>
          <w:tcPr>
            <w:tcW w:type="dxa" w:w="2600"/>
            <w:tcBorders>
              <w:top w:val="single" w:color="B0B7C3" w:sz="1"/>
              <w:left w:val="single" w:color="B0B7C3" w:sz="1"/>
              <w:bottom w:val="single" w:color="B0B7C3" w:sz="1"/>
              <w:right w:val="single" w:color="B0B7C3" w:sz="1"/>
            </w:tcBorders>
            <w:shd w:fill="FFFFFF" w:val="clear"/>
            <w:tcMar>
              <w:top w:type="dxa" w:w="60"/>
              <w:left w:type="dxa" w:w="120"/>
              <w:bottom w:type="dxa" w:w="60"/>
              <w:right w:type="dxa" w:w="120"/>
            </w:tcMar>
            <w:vAlign w:val="center"/>
          </w:tcPr>
          <w:p>
            <w:r>
              <w:rPr>
                <w:b w:val="false"/>
                <w:bCs w:val="false"/>
                <w:sz w:val="19"/>
                <w:szCs w:val="19"/>
              </w:rPr>
              <w:t xml:space="preserve">0.10</w:t>
            </w:r>
          </w:p>
        </w:tc>
        <w:tc>
          <w:tcPr>
            <w:tcW w:type="dxa" w:w="2200"/>
            <w:tcBorders>
              <w:top w:val="single" w:color="B0B7C3" w:sz="1"/>
              <w:left w:val="single" w:color="B0B7C3" w:sz="1"/>
              <w:bottom w:val="single" w:color="B0B7C3" w:sz="1"/>
              <w:right w:val="single" w:color="B0B7C3" w:sz="1"/>
            </w:tcBorders>
            <w:shd w:fill="FFFFFF" w:val="clear"/>
            <w:tcMar>
              <w:top w:type="dxa" w:w="60"/>
              <w:left w:type="dxa" w:w="120"/>
              <w:bottom w:type="dxa" w:w="60"/>
              <w:right w:type="dxa" w:w="120"/>
            </w:tcMar>
            <w:vAlign w:val="center"/>
          </w:tcPr>
          <w:p>
            <w:r>
              <w:rPr>
                <w:b w:val="false"/>
                <w:bCs w:val="false"/>
                <w:sz w:val="19"/>
                <w:szCs w:val="19"/>
              </w:rPr>
              <w:t xml:space="preserve">-</w:t>
            </w:r>
          </w:p>
        </w:tc>
        <w:tc>
          <w:tcPr>
            <w:tcW w:type="dxa" w:w="2200"/>
            <w:tcBorders>
              <w:top w:val="single" w:color="B0B7C3" w:sz="1"/>
              <w:left w:val="single" w:color="B0B7C3" w:sz="1"/>
              <w:bottom w:val="single" w:color="B0B7C3" w:sz="1"/>
              <w:right w:val="single" w:color="B0B7C3" w:sz="1"/>
            </w:tcBorders>
            <w:shd w:fill="FFFFFF" w:val="clear"/>
            <w:tcMar>
              <w:top w:type="dxa" w:w="60"/>
              <w:left w:type="dxa" w:w="120"/>
              <w:bottom w:type="dxa" w:w="60"/>
              <w:right w:type="dxa" w:w="120"/>
            </w:tcMar>
            <w:vAlign w:val="center"/>
          </w:tcPr>
          <w:p>
            <w:r>
              <w:rPr>
                <w:b w:val="false"/>
                <w:bCs w:val="false"/>
                <w:sz w:val="19"/>
                <w:szCs w:val="19"/>
              </w:rPr>
              <w:t xml:space="preserve">-</w:t>
            </w:r>
          </w:p>
        </w:tc>
        <w:tc>
          <w:tcPr>
            <w:tcW w:type="dxa" w:w="2360"/>
            <w:tcBorders>
              <w:top w:val="single" w:color="B0B7C3" w:sz="1"/>
              <w:left w:val="single" w:color="B0B7C3" w:sz="1"/>
              <w:bottom w:val="single" w:color="B0B7C3" w:sz="1"/>
              <w:right w:val="single" w:color="B0B7C3" w:sz="1"/>
            </w:tcBorders>
            <w:shd w:fill="FFFFFF" w:val="clear"/>
            <w:tcMar>
              <w:top w:type="dxa" w:w="60"/>
              <w:left w:type="dxa" w:w="120"/>
              <w:bottom w:type="dxa" w:w="60"/>
              <w:right w:type="dxa" w:w="120"/>
            </w:tcMar>
            <w:vAlign w:val="center"/>
          </w:tcPr>
          <w:p>
            <w:r>
              <w:rPr>
                <w:b w:val="false"/>
                <w:bCs w:val="false"/>
                <w:sz w:val="19"/>
                <w:szCs w:val="19"/>
              </w:rPr>
              <w:t xml:space="preserve">First retune (Section 9, Failure F5); nearly triples small-object recall relative to 0.30.</w:t>
            </w:r>
          </w:p>
        </w:tc>
      </w:tr>
      <w:tr>
        <w:tc>
          <w:tcPr>
            <w:tcW w:type="dxa" w:w="2600"/>
            <w:tcBorders>
              <w:top w:val="single" w:color="B0B7C3" w:sz="1"/>
              <w:left w:val="single" w:color="B0B7C3" w:sz="1"/>
              <w:bottom w:val="single" w:color="B0B7C3" w:sz="1"/>
              <w:right w:val="single" w:color="B0B7C3" w:sz="1"/>
            </w:tcBorders>
            <w:shd w:fill="F8FAFC" w:val="clear"/>
            <w:tcMar>
              <w:top w:type="dxa" w:w="60"/>
              <w:left w:type="dxa" w:w="120"/>
              <w:bottom w:type="dxa" w:w="60"/>
              <w:right w:type="dxa" w:w="120"/>
            </w:tcMar>
            <w:vAlign w:val="center"/>
          </w:tcPr>
          <w:p>
            <w:r>
              <w:rPr>
                <w:b w:val="false"/>
                <w:bCs w:val="false"/>
                <w:sz w:val="19"/>
                <w:szCs w:val="19"/>
              </w:rPr>
              <w:t xml:space="preserve">0.04 (deployed)</w:t>
            </w:r>
          </w:p>
        </w:tc>
        <w:tc>
          <w:tcPr>
            <w:tcW w:type="dxa" w:w="2200"/>
            <w:tcBorders>
              <w:top w:val="single" w:color="B0B7C3" w:sz="1"/>
              <w:left w:val="single" w:color="B0B7C3" w:sz="1"/>
              <w:bottom w:val="single" w:color="B0B7C3" w:sz="1"/>
              <w:right w:val="single" w:color="B0B7C3" w:sz="1"/>
            </w:tcBorders>
            <w:shd w:fill="F8FAFC" w:val="clear"/>
            <w:tcMar>
              <w:top w:type="dxa" w:w="60"/>
              <w:left w:type="dxa" w:w="120"/>
              <w:bottom w:type="dxa" w:w="60"/>
              <w:right w:type="dxa" w:w="120"/>
            </w:tcMar>
            <w:vAlign w:val="center"/>
          </w:tcPr>
          <w:p>
            <w:r>
              <w:rPr>
                <w:b w:val="false"/>
                <w:bCs w:val="false"/>
                <w:sz w:val="19"/>
                <w:szCs w:val="19"/>
              </w:rPr>
              <w:t xml:space="preserve">-</w:t>
            </w:r>
          </w:p>
        </w:tc>
        <w:tc>
          <w:tcPr>
            <w:tcW w:type="dxa" w:w="2200"/>
            <w:tcBorders>
              <w:top w:val="single" w:color="B0B7C3" w:sz="1"/>
              <w:left w:val="single" w:color="B0B7C3" w:sz="1"/>
              <w:bottom w:val="single" w:color="B0B7C3" w:sz="1"/>
              <w:right w:val="single" w:color="B0B7C3" w:sz="1"/>
            </w:tcBorders>
            <w:shd w:fill="F8FAFC" w:val="clear"/>
            <w:tcMar>
              <w:top w:type="dxa" w:w="60"/>
              <w:left w:type="dxa" w:w="120"/>
              <w:bottom w:type="dxa" w:w="60"/>
              <w:right w:type="dxa" w:w="120"/>
            </w:tcMar>
            <w:vAlign w:val="center"/>
          </w:tcPr>
          <w:p>
            <w:r>
              <w:rPr>
                <w:b w:val="false"/>
                <w:bCs w:val="false"/>
                <w:sz w:val="19"/>
                <w:szCs w:val="19"/>
              </w:rPr>
              <w:t xml:space="preserve">-</w:t>
            </w:r>
          </w:p>
        </w:tc>
        <w:tc>
          <w:tcPr>
            <w:tcW w:type="dxa" w:w="2360"/>
            <w:tcBorders>
              <w:top w:val="single" w:color="B0B7C3" w:sz="1"/>
              <w:left w:val="single" w:color="B0B7C3" w:sz="1"/>
              <w:bottom w:val="single" w:color="B0B7C3" w:sz="1"/>
              <w:right w:val="single" w:color="B0B7C3" w:sz="1"/>
            </w:tcBorders>
            <w:shd w:fill="F8FAFC" w:val="clear"/>
            <w:tcMar>
              <w:top w:type="dxa" w:w="60"/>
              <w:left w:type="dxa" w:w="120"/>
              <w:bottom w:type="dxa" w:w="60"/>
              <w:right w:type="dxa" w:w="120"/>
            </w:tcMar>
            <w:vAlign w:val="center"/>
          </w:tcPr>
          <w:p>
            <w:r>
              <w:rPr>
                <w:b w:val="false"/>
                <w:bCs w:val="false"/>
                <w:sz w:val="19"/>
                <w:szCs w:val="19"/>
              </w:rPr>
              <w:t xml:space="preserve">Final retune (Section 9, Failure F13): lifts field recall +8.1pp and studio recall +5.3pp with no architecture change.</w:t>
            </w:r>
          </w:p>
        </w:tc>
      </w:tr>
    </w:tbl>
    <w:p>
      <w:pPr>
        <w:spacing w:after="200"/>
      </w:pPr>
    </w:p>
    <w:p>
      <w:pPr>
        <w:pStyle w:val="Heading3"/>
      </w:pPr>
      <w:r>
        <w:t xml:space="preserve">8.3.1 Localisation Rework: Grad-CAM Baseline vs. YOLO Localisation</w:t>
      </w:r>
    </w:p>
    <w:p>
      <w:pPr>
        <w:spacing w:after="160"/>
        <w:jc w:val="both"/>
      </w:pPr>
      <w:r>
        <w:rPr>
          <w:b w:val="false"/>
          <w:bCs w:val="false"/>
          <w:i w:val="false"/>
          <w:iCs w:val="false"/>
        </w:rPr>
        <w:t xml:space="preserve">As introduced in Section 7.3.7, a classification-first Grad-CAM localisation baseline was implemented and evaluated on identical stratified test images against a YOLO-as-localiser-only variant. Table 13 is the quantitative basis for keeping the localisation-first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000"/>
        <w:gridCol w:w="2000"/>
        <w:gridCol w:w="1960"/>
      </w:tblGrid>
      <w:tr>
        <w:trPr>
          <w:tblHeader/>
        </w:trPr>
        <w:tc>
          <w:tcPr>
            <w:tcW w:type="dxa" w:w="3400"/>
            <w:tcBorders>
              <w:top w:val="single" w:color="B0B7C3" w:sz="1"/>
              <w:left w:val="single" w:color="B0B7C3" w:sz="1"/>
              <w:bottom w:val="single" w:color="B0B7C3" w:sz="1"/>
              <w:right w:val="single" w:color="B0B7C3" w:sz="1"/>
            </w:tcBorders>
            <w:shd w:fill="1F2937" w:val="clear"/>
            <w:tcMar>
              <w:top w:type="dxa" w:w="80"/>
              <w:left w:type="dxa" w:w="120"/>
              <w:bottom w:type="dxa" w:w="80"/>
              <w:right w:type="dxa" w:w="120"/>
            </w:tcMar>
            <w:vAlign w:val="center"/>
          </w:tcPr>
          <w:p>
            <w:r>
              <w:rPr>
                <w:b/>
                <w:bCs/>
                <w:color w:val="FFFFFF"/>
                <w:sz w:val="19"/>
                <w:szCs w:val="19"/>
              </w:rPr>
              <w:t xml:space="preserve">Localiser</w:t>
            </w:r>
          </w:p>
        </w:tc>
        <w:tc>
          <w:tcPr>
            <w:tcW w:type="dxa" w:w="2000"/>
            <w:tcBorders>
              <w:top w:val="single" w:color="B0B7C3" w:sz="1"/>
              <w:left w:val="single" w:color="B0B7C3" w:sz="1"/>
              <w:bottom w:val="single" w:color="B0B7C3" w:sz="1"/>
              <w:right w:val="single" w:color="B0B7C3" w:sz="1"/>
            </w:tcBorders>
            <w:shd w:fill="1F2937" w:val="clear"/>
            <w:tcMar>
              <w:top w:type="dxa" w:w="80"/>
              <w:left w:type="dxa" w:w="120"/>
              <w:bottom w:type="dxa" w:w="80"/>
              <w:right w:type="dxa" w:w="120"/>
            </w:tcMar>
            <w:vAlign w:val="center"/>
          </w:tcPr>
          <w:p>
            <w:r>
              <w:rPr>
                <w:b/>
                <w:bCs/>
                <w:color w:val="FFFFFF"/>
                <w:sz w:val="19"/>
                <w:szCs w:val="19"/>
              </w:rPr>
              <w:t xml:space="preserve">Precision</w:t>
            </w:r>
          </w:p>
        </w:tc>
        <w:tc>
          <w:tcPr>
            <w:tcW w:type="dxa" w:w="2000"/>
            <w:tcBorders>
              <w:top w:val="single" w:color="B0B7C3" w:sz="1"/>
              <w:left w:val="single" w:color="B0B7C3" w:sz="1"/>
              <w:bottom w:val="single" w:color="B0B7C3" w:sz="1"/>
              <w:right w:val="single" w:color="B0B7C3" w:sz="1"/>
            </w:tcBorders>
            <w:shd w:fill="1F2937" w:val="clear"/>
            <w:tcMar>
              <w:top w:type="dxa" w:w="80"/>
              <w:left w:type="dxa" w:w="120"/>
              <w:bottom w:type="dxa" w:w="80"/>
              <w:right w:type="dxa" w:w="120"/>
            </w:tcMar>
            <w:vAlign w:val="center"/>
          </w:tcPr>
          <w:p>
            <w:r>
              <w:rPr>
                <w:b/>
                <w:bCs/>
                <w:color w:val="FFFFFF"/>
                <w:sz w:val="19"/>
                <w:szCs w:val="19"/>
              </w:rPr>
              <w:t xml:space="preserve">Recall</w:t>
            </w:r>
          </w:p>
        </w:tc>
        <w:tc>
          <w:tcPr>
            <w:tcW w:type="dxa" w:w="1960"/>
            <w:tcBorders>
              <w:top w:val="single" w:color="B0B7C3" w:sz="1"/>
              <w:left w:val="single" w:color="B0B7C3" w:sz="1"/>
              <w:bottom w:val="single" w:color="B0B7C3" w:sz="1"/>
              <w:right w:val="single" w:color="B0B7C3" w:sz="1"/>
            </w:tcBorders>
            <w:shd w:fill="1F2937" w:val="clear"/>
            <w:tcMar>
              <w:top w:type="dxa" w:w="80"/>
              <w:left w:type="dxa" w:w="120"/>
              <w:bottom w:type="dxa" w:w="80"/>
              <w:right w:type="dxa" w:w="120"/>
            </w:tcMar>
            <w:vAlign w:val="center"/>
          </w:tcPr>
          <w:p>
            <w:r>
              <w:rPr>
                <w:b/>
                <w:bCs/>
                <w:color w:val="FFFFFF"/>
                <w:sz w:val="19"/>
                <w:szCs w:val="19"/>
              </w:rPr>
              <w:t xml:space="preserve">Mean matched IoU</w:t>
            </w:r>
          </w:p>
        </w:tc>
      </w:tr>
      <w:tr>
        <w:tc>
          <w:tcPr>
            <w:tcW w:type="dxa" w:w="3400"/>
            <w:tcBorders>
              <w:top w:val="single" w:color="B0B7C3" w:sz="1"/>
              <w:left w:val="single" w:color="B0B7C3" w:sz="1"/>
              <w:bottom w:val="single" w:color="B0B7C3" w:sz="1"/>
              <w:right w:val="single" w:color="B0B7C3" w:sz="1"/>
            </w:tcBorders>
            <w:shd w:fill="F8FAFC" w:val="clear"/>
            <w:tcMar>
              <w:top w:type="dxa" w:w="60"/>
              <w:left w:type="dxa" w:w="120"/>
              <w:bottom w:type="dxa" w:w="60"/>
              <w:right w:type="dxa" w:w="120"/>
            </w:tcMar>
            <w:vAlign w:val="center"/>
          </w:tcPr>
          <w:p>
            <w:r>
              <w:rPr>
                <w:b w:val="false"/>
                <w:bCs w:val="false"/>
                <w:sz w:val="19"/>
                <w:szCs w:val="19"/>
              </w:rPr>
              <w:t xml:space="preserve">Grad-CAM baseline</w:t>
            </w:r>
          </w:p>
        </w:tc>
        <w:tc>
          <w:tcPr>
            <w:tcW w:type="dxa" w:w="2000"/>
            <w:tcBorders>
              <w:top w:val="single" w:color="B0B7C3" w:sz="1"/>
              <w:left w:val="single" w:color="B0B7C3" w:sz="1"/>
              <w:bottom w:val="single" w:color="B0B7C3" w:sz="1"/>
              <w:right w:val="single" w:color="B0B7C3" w:sz="1"/>
            </w:tcBorders>
            <w:shd w:fill="F8FAFC" w:val="clear"/>
            <w:tcMar>
              <w:top w:type="dxa" w:w="60"/>
              <w:left w:type="dxa" w:w="120"/>
              <w:bottom w:type="dxa" w:w="60"/>
              <w:right w:type="dxa" w:w="120"/>
            </w:tcMar>
            <w:vAlign w:val="center"/>
          </w:tcPr>
          <w:p>
            <w:r>
              <w:rPr>
                <w:b w:val="false"/>
                <w:bCs w:val="false"/>
                <w:sz w:val="19"/>
                <w:szCs w:val="19"/>
              </w:rPr>
              <w:t xml:space="preserve">0.2568</w:t>
            </w:r>
          </w:p>
        </w:tc>
        <w:tc>
          <w:tcPr>
            <w:tcW w:type="dxa" w:w="2000"/>
            <w:tcBorders>
              <w:top w:val="single" w:color="B0B7C3" w:sz="1"/>
              <w:left w:val="single" w:color="B0B7C3" w:sz="1"/>
              <w:bottom w:val="single" w:color="B0B7C3" w:sz="1"/>
              <w:right w:val="single" w:color="B0B7C3" w:sz="1"/>
            </w:tcBorders>
            <w:shd w:fill="F8FAFC" w:val="clear"/>
            <w:tcMar>
              <w:top w:type="dxa" w:w="60"/>
              <w:left w:type="dxa" w:w="120"/>
              <w:bottom w:type="dxa" w:w="60"/>
              <w:right w:type="dxa" w:w="120"/>
            </w:tcMar>
            <w:vAlign w:val="center"/>
          </w:tcPr>
          <w:p>
            <w:r>
              <w:rPr>
                <w:b w:val="false"/>
                <w:bCs w:val="false"/>
                <w:sz w:val="19"/>
                <w:szCs w:val="19"/>
              </w:rPr>
              <w:t xml:space="preserve">0.0728</w:t>
            </w:r>
          </w:p>
        </w:tc>
        <w:tc>
          <w:tcPr>
            <w:tcW w:type="dxa" w:w="1960"/>
            <w:tcBorders>
              <w:top w:val="single" w:color="B0B7C3" w:sz="1"/>
              <w:left w:val="single" w:color="B0B7C3" w:sz="1"/>
              <w:bottom w:val="single" w:color="B0B7C3" w:sz="1"/>
              <w:right w:val="single" w:color="B0B7C3" w:sz="1"/>
            </w:tcBorders>
            <w:shd w:fill="F8FAFC" w:val="clear"/>
            <w:tcMar>
              <w:top w:type="dxa" w:w="60"/>
              <w:left w:type="dxa" w:w="120"/>
              <w:bottom w:type="dxa" w:w="60"/>
              <w:right w:type="dxa" w:w="120"/>
            </w:tcMar>
            <w:vAlign w:val="center"/>
          </w:tcPr>
          <w:p>
            <w:r>
              <w:rPr>
                <w:b w:val="false"/>
                <w:bCs w:val="false"/>
                <w:sz w:val="19"/>
                <w:szCs w:val="19"/>
              </w:rPr>
              <w:t xml:space="preserve">0.7127</w:t>
            </w:r>
          </w:p>
        </w:tc>
      </w:tr>
      <w:tr>
        <w:tc>
          <w:tcPr>
            <w:tcW w:type="dxa" w:w="3400"/>
            <w:tcBorders>
              <w:top w:val="single" w:color="B0B7C3" w:sz="1"/>
              <w:left w:val="single" w:color="B0B7C3" w:sz="1"/>
              <w:bottom w:val="single" w:color="B0B7C3" w:sz="1"/>
              <w:right w:val="single" w:color="B0B7C3" w:sz="1"/>
            </w:tcBorders>
            <w:shd w:fill="FFFFFF" w:val="clear"/>
            <w:tcMar>
              <w:top w:type="dxa" w:w="60"/>
              <w:left w:type="dxa" w:w="120"/>
              <w:bottom w:type="dxa" w:w="60"/>
              <w:right w:type="dxa" w:w="120"/>
            </w:tcMar>
            <w:vAlign w:val="center"/>
          </w:tcPr>
          <w:p>
            <w:r>
              <w:rPr>
                <w:b w:val="false"/>
                <w:bCs w:val="false"/>
                <w:sz w:val="19"/>
                <w:szCs w:val="19"/>
              </w:rPr>
              <w:t xml:space="preserve">YOLO, conf=0.25</w:t>
            </w:r>
          </w:p>
        </w:tc>
        <w:tc>
          <w:tcPr>
            <w:tcW w:type="dxa" w:w="2000"/>
            <w:tcBorders>
              <w:top w:val="single" w:color="B0B7C3" w:sz="1"/>
              <w:left w:val="single" w:color="B0B7C3" w:sz="1"/>
              <w:bottom w:val="single" w:color="B0B7C3" w:sz="1"/>
              <w:right w:val="single" w:color="B0B7C3" w:sz="1"/>
            </w:tcBorders>
            <w:shd w:fill="FFFFFF" w:val="clear"/>
            <w:tcMar>
              <w:top w:type="dxa" w:w="60"/>
              <w:left w:type="dxa" w:w="120"/>
              <w:bottom w:type="dxa" w:w="60"/>
              <w:right w:type="dxa" w:w="120"/>
            </w:tcMar>
            <w:vAlign w:val="center"/>
          </w:tcPr>
          <w:p>
            <w:r>
              <w:rPr>
                <w:b w:val="false"/>
                <w:bCs w:val="false"/>
                <w:sz w:val="19"/>
                <w:szCs w:val="19"/>
              </w:rPr>
              <w:t xml:space="preserve">0.6352</w:t>
            </w:r>
          </w:p>
        </w:tc>
        <w:tc>
          <w:tcPr>
            <w:tcW w:type="dxa" w:w="2000"/>
            <w:tcBorders>
              <w:top w:val="single" w:color="B0B7C3" w:sz="1"/>
              <w:left w:val="single" w:color="B0B7C3" w:sz="1"/>
              <w:bottom w:val="single" w:color="B0B7C3" w:sz="1"/>
              <w:right w:val="single" w:color="B0B7C3" w:sz="1"/>
            </w:tcBorders>
            <w:shd w:fill="FFFFFF" w:val="clear"/>
            <w:tcMar>
              <w:top w:type="dxa" w:w="60"/>
              <w:left w:type="dxa" w:w="120"/>
              <w:bottom w:type="dxa" w:w="60"/>
              <w:right w:type="dxa" w:w="120"/>
            </w:tcMar>
            <w:vAlign w:val="center"/>
          </w:tcPr>
          <w:p>
            <w:r>
              <w:rPr>
                <w:b w:val="false"/>
                <w:bCs w:val="false"/>
                <w:sz w:val="19"/>
                <w:szCs w:val="19"/>
              </w:rPr>
              <w:t xml:space="preserve">0.5670</w:t>
            </w:r>
          </w:p>
        </w:tc>
        <w:tc>
          <w:tcPr>
            <w:tcW w:type="dxa" w:w="1960"/>
            <w:tcBorders>
              <w:top w:val="single" w:color="B0B7C3" w:sz="1"/>
              <w:left w:val="single" w:color="B0B7C3" w:sz="1"/>
              <w:bottom w:val="single" w:color="B0B7C3" w:sz="1"/>
              <w:right w:val="single" w:color="B0B7C3" w:sz="1"/>
            </w:tcBorders>
            <w:shd w:fill="FFFFFF" w:val="clear"/>
            <w:tcMar>
              <w:top w:type="dxa" w:w="60"/>
              <w:left w:type="dxa" w:w="120"/>
              <w:bottom w:type="dxa" w:w="60"/>
              <w:right w:type="dxa" w:w="120"/>
            </w:tcMar>
            <w:vAlign w:val="center"/>
          </w:tcPr>
          <w:p>
            <w:r>
              <w:rPr>
                <w:b w:val="false"/>
                <w:bCs w:val="false"/>
                <w:sz w:val="19"/>
                <w:szCs w:val="19"/>
              </w:rPr>
              <w:t xml:space="preserve">0.9012</w:t>
            </w:r>
          </w:p>
        </w:tc>
      </w:tr>
      <w:tr>
        <w:tc>
          <w:tcPr>
            <w:tcW w:type="dxa" w:w="3400"/>
            <w:tcBorders>
              <w:top w:val="single" w:color="B0B7C3" w:sz="1"/>
              <w:left w:val="single" w:color="B0B7C3" w:sz="1"/>
              <w:bottom w:val="single" w:color="B0B7C3" w:sz="1"/>
              <w:right w:val="single" w:color="B0B7C3" w:sz="1"/>
            </w:tcBorders>
            <w:shd w:fill="F8FAFC" w:val="clear"/>
            <w:tcMar>
              <w:top w:type="dxa" w:w="60"/>
              <w:left w:type="dxa" w:w="120"/>
              <w:bottom w:type="dxa" w:w="60"/>
              <w:right w:type="dxa" w:w="120"/>
            </w:tcMar>
            <w:vAlign w:val="center"/>
          </w:tcPr>
          <w:p>
            <w:r>
              <w:rPr>
                <w:b w:val="false"/>
                <w:bCs w:val="false"/>
                <w:sz w:val="19"/>
                <w:szCs w:val="19"/>
              </w:rPr>
              <w:t xml:space="preserve">YOLO, conf=0.30 (300-image final check)</w:t>
            </w:r>
          </w:p>
        </w:tc>
        <w:tc>
          <w:tcPr>
            <w:tcW w:type="dxa" w:w="2000"/>
            <w:tcBorders>
              <w:top w:val="single" w:color="B0B7C3" w:sz="1"/>
              <w:left w:val="single" w:color="B0B7C3" w:sz="1"/>
              <w:bottom w:val="single" w:color="B0B7C3" w:sz="1"/>
              <w:right w:val="single" w:color="B0B7C3" w:sz="1"/>
            </w:tcBorders>
            <w:shd w:fill="F8FAFC" w:val="clear"/>
            <w:tcMar>
              <w:top w:type="dxa" w:w="60"/>
              <w:left w:type="dxa" w:w="120"/>
              <w:bottom w:type="dxa" w:w="60"/>
              <w:right w:type="dxa" w:w="120"/>
            </w:tcMar>
            <w:vAlign w:val="center"/>
          </w:tcPr>
          <w:p>
            <w:r>
              <w:rPr>
                <w:b w:val="false"/>
                <w:bCs w:val="false"/>
                <w:sz w:val="19"/>
                <w:szCs w:val="19"/>
              </w:rPr>
              <w:t xml:space="preserve">0.6999</w:t>
            </w:r>
          </w:p>
        </w:tc>
        <w:tc>
          <w:tcPr>
            <w:tcW w:type="dxa" w:w="2000"/>
            <w:tcBorders>
              <w:top w:val="single" w:color="B0B7C3" w:sz="1"/>
              <w:left w:val="single" w:color="B0B7C3" w:sz="1"/>
              <w:bottom w:val="single" w:color="B0B7C3" w:sz="1"/>
              <w:right w:val="single" w:color="B0B7C3" w:sz="1"/>
            </w:tcBorders>
            <w:shd w:fill="F8FAFC" w:val="clear"/>
            <w:tcMar>
              <w:top w:type="dxa" w:w="60"/>
              <w:left w:type="dxa" w:w="120"/>
              <w:bottom w:type="dxa" w:w="60"/>
              <w:right w:type="dxa" w:w="120"/>
            </w:tcMar>
            <w:vAlign w:val="center"/>
          </w:tcPr>
          <w:p>
            <w:r>
              <w:rPr>
                <w:b w:val="false"/>
                <w:bCs w:val="false"/>
                <w:sz w:val="19"/>
                <w:szCs w:val="19"/>
              </w:rPr>
              <w:t xml:space="preserve">0.5729</w:t>
            </w:r>
          </w:p>
        </w:tc>
        <w:tc>
          <w:tcPr>
            <w:tcW w:type="dxa" w:w="1960"/>
            <w:tcBorders>
              <w:top w:val="single" w:color="B0B7C3" w:sz="1"/>
              <w:left w:val="single" w:color="B0B7C3" w:sz="1"/>
              <w:bottom w:val="single" w:color="B0B7C3" w:sz="1"/>
              <w:right w:val="single" w:color="B0B7C3" w:sz="1"/>
            </w:tcBorders>
            <w:shd w:fill="F8FAFC" w:val="clear"/>
            <w:tcMar>
              <w:top w:type="dxa" w:w="60"/>
              <w:left w:type="dxa" w:w="120"/>
              <w:bottom w:type="dxa" w:w="60"/>
              <w:right w:type="dxa" w:w="120"/>
            </w:tcMar>
            <w:vAlign w:val="center"/>
          </w:tcPr>
          <w:p>
            <w:r>
              <w:rPr>
                <w:b w:val="false"/>
                <w:bCs w:val="false"/>
                <w:sz w:val="19"/>
                <w:szCs w:val="19"/>
              </w:rPr>
              <w:t xml:space="preserve">0.9057</w:t>
            </w:r>
          </w:p>
        </w:tc>
      </w:tr>
      <w:tr>
        <w:tc>
          <w:tcPr>
            <w:tcW w:type="dxa" w:w="3400"/>
            <w:tcBorders>
              <w:top w:val="single" w:color="B0B7C3" w:sz="1"/>
              <w:left w:val="single" w:color="B0B7C3" w:sz="1"/>
              <w:bottom w:val="single" w:color="B0B7C3" w:sz="1"/>
              <w:right w:val="single" w:color="B0B7C3" w:sz="1"/>
            </w:tcBorders>
            <w:shd w:fill="FFFFFF" w:val="clear"/>
            <w:tcMar>
              <w:top w:type="dxa" w:w="60"/>
              <w:left w:type="dxa" w:w="120"/>
              <w:bottom w:type="dxa" w:w="60"/>
              <w:right w:type="dxa" w:w="120"/>
            </w:tcMar>
            <w:vAlign w:val="center"/>
          </w:tcPr>
          <w:p>
            <w:r>
              <w:rPr>
                <w:b w:val="false"/>
                <w:bCs w:val="false"/>
                <w:sz w:val="19"/>
                <w:szCs w:val="19"/>
              </w:rPr>
              <w:t xml:space="preserve">YOLO, conf=0.40 (high-precision setting)</w:t>
            </w:r>
          </w:p>
        </w:tc>
        <w:tc>
          <w:tcPr>
            <w:tcW w:type="dxa" w:w="2000"/>
            <w:tcBorders>
              <w:top w:val="single" w:color="B0B7C3" w:sz="1"/>
              <w:left w:val="single" w:color="B0B7C3" w:sz="1"/>
              <w:bottom w:val="single" w:color="B0B7C3" w:sz="1"/>
              <w:right w:val="single" w:color="B0B7C3" w:sz="1"/>
            </w:tcBorders>
            <w:shd w:fill="FFFFFF" w:val="clear"/>
            <w:tcMar>
              <w:top w:type="dxa" w:w="60"/>
              <w:left w:type="dxa" w:w="120"/>
              <w:bottom w:type="dxa" w:w="60"/>
              <w:right w:type="dxa" w:w="120"/>
            </w:tcMar>
            <w:vAlign w:val="center"/>
          </w:tcPr>
          <w:p>
            <w:r>
              <w:rPr>
                <w:b w:val="false"/>
                <w:bCs w:val="false"/>
                <w:sz w:val="19"/>
                <w:szCs w:val="19"/>
              </w:rPr>
              <w:t xml:space="preserve">0.8035</w:t>
            </w:r>
          </w:p>
        </w:tc>
        <w:tc>
          <w:tcPr>
            <w:tcW w:type="dxa" w:w="2000"/>
            <w:tcBorders>
              <w:top w:val="single" w:color="B0B7C3" w:sz="1"/>
              <w:left w:val="single" w:color="B0B7C3" w:sz="1"/>
              <w:bottom w:val="single" w:color="B0B7C3" w:sz="1"/>
              <w:right w:val="single" w:color="B0B7C3" w:sz="1"/>
            </w:tcBorders>
            <w:shd w:fill="FFFFFF" w:val="clear"/>
            <w:tcMar>
              <w:top w:type="dxa" w:w="60"/>
              <w:left w:type="dxa" w:w="120"/>
              <w:bottom w:type="dxa" w:w="60"/>
              <w:right w:type="dxa" w:w="120"/>
            </w:tcMar>
            <w:vAlign w:val="center"/>
          </w:tcPr>
          <w:p>
            <w:r>
              <w:rPr>
                <w:b w:val="false"/>
                <w:bCs w:val="false"/>
                <w:sz w:val="19"/>
                <w:szCs w:val="19"/>
              </w:rPr>
              <w:t xml:space="preserve">0.5148</w:t>
            </w:r>
          </w:p>
        </w:tc>
        <w:tc>
          <w:tcPr>
            <w:tcW w:type="dxa" w:w="1960"/>
            <w:tcBorders>
              <w:top w:val="single" w:color="B0B7C3" w:sz="1"/>
              <w:left w:val="single" w:color="B0B7C3" w:sz="1"/>
              <w:bottom w:val="single" w:color="B0B7C3" w:sz="1"/>
              <w:right w:val="single" w:color="B0B7C3" w:sz="1"/>
            </w:tcBorders>
            <w:shd w:fill="FFFFFF" w:val="clear"/>
            <w:tcMar>
              <w:top w:type="dxa" w:w="60"/>
              <w:left w:type="dxa" w:w="120"/>
              <w:bottom w:type="dxa" w:w="60"/>
              <w:right w:type="dxa" w:w="120"/>
            </w:tcMar>
            <w:vAlign w:val="center"/>
          </w:tcPr>
          <w:p>
            <w:r>
              <w:rPr>
                <w:b w:val="false"/>
                <w:bCs w:val="false"/>
                <w:sz w:val="19"/>
                <w:szCs w:val="19"/>
              </w:rPr>
              <w:t xml:space="preserve">0.9050</w:t>
            </w:r>
          </w:p>
        </w:tc>
      </w:tr>
    </w:tbl>
    <w:p>
      <w:pPr>
        <w:spacing w:after="200"/>
      </w:pPr>
    </w:p>
    <w:p>
      <w:pPr>
        <w:pStyle w:val="Heading2"/>
      </w:pPr>
      <w:r>
        <w:t xml:space="preserve">8.4 End-to-End Production Pipeline Results</w:t>
      </w:r>
    </w:p>
    <w:p>
      <w:pPr>
        <w:spacing w:after="160"/>
        <w:jc w:val="both"/>
      </w:pPr>
      <w:r>
        <w:rPr>
          <w:b w:val="false"/>
          <w:bCs w:val="false"/>
          <w:i w:val="false"/>
          <w:iCs w:val="false"/>
        </w:rPr>
        <w:t xml:space="preserve">A 100-image validation sweep of the full deployed pipeline (Stage 1 + adaptive engine + Stage 2 + fusion + gate) produced 348 YOLO proposals, of which 295 were accepted after Stage 2 verification, at 238.08 ms per image on CPU (4.20 FPS) - fast enough for the deployed Hugging Face Space, which runs on CPU-only hosting. Figure 20 shows one real, end-to-end pipeline output on a hard, cluttered indoor scene, exactly as produced by the deployed model, not a curated illustration.</w:t>
      </w:r>
    </w:p>
    <w:p>
      <w:pPr>
        <w:spacing w:after="40" w:before="120"/>
        <w:jc w:val="center"/>
      </w:pPr>
      <w:r>
        <w:drawing>
          <wp:inline distT="0" distB="0" distL="0" distR="0">
            <wp:extent cx="3238500" cy="4857750"/>
            <wp:effectExtent t="0" r="0" b="0" l="0"/>
            <wp:docPr id="1" name="Figure 20. End-to-end pipeline output on a cluttered indoor kitchen scene: detected boxes, verified material classes, and bin routing." descr="Figure 20. End-to-end pipeline output on a cluttered indoor kitchen scene: detected boxes, verified material classes, and bin routing." title="Figure 20. End-to-end pipeline output on a cluttered indoor kitchen scene: detected boxes, verified material classes, and bin rou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238500" cy="4857750"/>
                    </a:xfrm>
                    <a:prstGeom prst="rect">
                      <a:avLst/>
                    </a:prstGeom>
                  </pic:spPr>
                </pic:pic>
              </a:graphicData>
            </a:graphic>
          </wp:inline>
        </w:drawing>
      </w:r>
    </w:p>
    <w:p>
      <w:pPr>
        <w:spacing w:after="240" w:before="80"/>
        <w:jc w:val="center"/>
      </w:pPr>
      <w:r>
        <w:rPr>
          <w:i/>
          <w:iCs/>
          <w:sz w:val="20"/>
          <w:szCs w:val="20"/>
        </w:rPr>
        <w:t xml:space="preserve">Figure 20. End-to-end pipeline output on a cluttered indoor kitchen scene: detected boxes, verified material classes, and bin routing.</w:t>
      </w:r>
    </w:p>
    <w:p>
      <w:pPr>
        <w:spacing w:after="160"/>
        <w:jc w:val="both"/>
      </w:pPr>
      <w:r>
        <w:rPr>
          <w:b w:val="false"/>
          <w:bCs w:val="false"/>
          <w:i w:val="false"/>
          <w:iCs w:val="false"/>
        </w:rPr>
        <w:t xml:space="preserve">The adaptive hybrid switcher (Section 7.3.2) was exercised across scene types of increasing difficulty during this sweep, automatically engaging small-object recovery mode on sparse outdoor scenes and dense-clutter mitigation on crowded indoor scenes, without any manual per-image configuration.</w:t>
      </w:r>
    </w:p>
    <w:p>
      <w:pPr>
        <w:pStyle w:val="Heading1"/>
      </w:pPr>
      <w:r>
        <w:t xml:space="preserve">9. Failures, Root Causes, and Fixes</w:t>
      </w:r>
    </w:p>
    <w:p>
      <w:pPr>
        <w:spacing w:after="160"/>
        <w:jc w:val="both"/>
      </w:pPr>
      <w:r>
        <w:rPr>
          <w:b w:val="false"/>
          <w:bCs w:val="false"/>
          <w:i w:val="false"/>
          <w:iCs w:val="false"/>
        </w:rPr>
        <w:t xml:space="preserve">This chapter is an honest engineering log of everything that went wrong over the course of the project, kept deliberately separate from the Results chapter so that negative and null results are not diluted or hidden among successes. Each entry follows the same structure: what the symptom or motivation was, what the root cause turned out to be, how it was measured, and what was done about it - including the several cases where the correct decision was to reject a proposed fix after measuring it honestly.</w:t>
      </w:r>
    </w:p>
    <w:p>
      <w:pPr>
        <w:pStyle w:val="Heading2"/>
      </w:pPr>
      <w:r>
        <w:t xml:space="preserve">9.1 Summary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700"/>
        <w:gridCol w:w="1200"/>
        <w:gridCol w:w="2760"/>
      </w:tblGrid>
      <w:tr>
        <w:trPr>
          <w:tblHeader/>
        </w:trPr>
        <w:tc>
          <w:tcPr>
            <w:tcW w:type="dxa" w:w="700"/>
            <w:tcBorders>
              <w:top w:val="single" w:color="B0B7C3" w:sz="1"/>
              <w:left w:val="single" w:color="B0B7C3" w:sz="1"/>
              <w:bottom w:val="single" w:color="B0B7C3" w:sz="1"/>
              <w:right w:val="single" w:color="B0B7C3" w:sz="1"/>
            </w:tcBorders>
            <w:shd w:fill="1F2937" w:val="clear"/>
            <w:tcMar>
              <w:top w:type="dxa" w:w="80"/>
              <w:left w:type="dxa" w:w="120"/>
              <w:bottom w:type="dxa" w:w="80"/>
              <w:right w:type="dxa" w:w="120"/>
            </w:tcMar>
            <w:vAlign w:val="center"/>
          </w:tcPr>
          <w:p>
            <w:r>
              <w:rPr>
                <w:b/>
                <w:bCs/>
                <w:color w:val="FFFFFF"/>
                <w:sz w:val="19"/>
                <w:szCs w:val="19"/>
              </w:rPr>
              <w:t xml:space="preserve">ID</w:t>
            </w:r>
          </w:p>
        </w:tc>
        <w:tc>
          <w:tcPr>
            <w:tcW w:type="dxa" w:w="4700"/>
            <w:tcBorders>
              <w:top w:val="single" w:color="B0B7C3" w:sz="1"/>
              <w:left w:val="single" w:color="B0B7C3" w:sz="1"/>
              <w:bottom w:val="single" w:color="B0B7C3" w:sz="1"/>
              <w:right w:val="single" w:color="B0B7C3" w:sz="1"/>
            </w:tcBorders>
            <w:shd w:fill="1F2937" w:val="clear"/>
            <w:tcMar>
              <w:top w:type="dxa" w:w="80"/>
              <w:left w:type="dxa" w:w="120"/>
              <w:bottom w:type="dxa" w:w="80"/>
              <w:right w:type="dxa" w:w="120"/>
            </w:tcMar>
            <w:vAlign w:val="center"/>
          </w:tcPr>
          <w:p>
            <w:r>
              <w:rPr>
                <w:b/>
                <w:bCs/>
                <w:color w:val="FFFFFF"/>
                <w:sz w:val="19"/>
                <w:szCs w:val="19"/>
              </w:rPr>
              <w:t xml:space="preserve">Failure</w:t>
            </w:r>
          </w:p>
        </w:tc>
        <w:tc>
          <w:tcPr>
            <w:tcW w:type="dxa" w:w="1200"/>
            <w:tcBorders>
              <w:top w:val="single" w:color="B0B7C3" w:sz="1"/>
              <w:left w:val="single" w:color="B0B7C3" w:sz="1"/>
              <w:bottom w:val="single" w:color="B0B7C3" w:sz="1"/>
              <w:right w:val="single" w:color="B0B7C3" w:sz="1"/>
            </w:tcBorders>
            <w:shd w:fill="1F2937" w:val="clear"/>
            <w:tcMar>
              <w:top w:type="dxa" w:w="80"/>
              <w:left w:type="dxa" w:w="120"/>
              <w:bottom w:type="dxa" w:w="80"/>
              <w:right w:type="dxa" w:w="120"/>
            </w:tcMar>
            <w:vAlign w:val="center"/>
          </w:tcPr>
          <w:p>
            <w:r>
              <w:rPr>
                <w:b/>
                <w:bCs/>
                <w:color w:val="FFFFFF"/>
                <w:sz w:val="19"/>
                <w:szCs w:val="19"/>
              </w:rPr>
              <w:t xml:space="preserve">Severity</w:t>
            </w:r>
          </w:p>
        </w:tc>
        <w:tc>
          <w:tcPr>
            <w:tcW w:type="dxa" w:w="2760"/>
            <w:tcBorders>
              <w:top w:val="single" w:color="B0B7C3" w:sz="1"/>
              <w:left w:val="single" w:color="B0B7C3" w:sz="1"/>
              <w:bottom w:val="single" w:color="B0B7C3" w:sz="1"/>
              <w:right w:val="single" w:color="B0B7C3" w:sz="1"/>
            </w:tcBorders>
            <w:shd w:fill="1F2937" w:val="clear"/>
            <w:tcMar>
              <w:top w:type="dxa" w:w="80"/>
              <w:left w:type="dxa" w:w="120"/>
              <w:bottom w:type="dxa" w:w="80"/>
              <w:right w:type="dxa" w:w="120"/>
            </w:tcMar>
            <w:vAlign w:val="center"/>
          </w:tcPr>
          <w:p>
            <w:r>
              <w:rPr>
                <w:b/>
                <w:bCs/>
                <w:color w:val="FFFFFF"/>
                <w:sz w:val="19"/>
                <w:szCs w:val="19"/>
              </w:rPr>
              <w:t xml:space="preserve">Outcome</w:t>
            </w:r>
          </w:p>
        </w:tc>
      </w:tr>
      <w:tr>
        <w:tc>
          <w:tcPr>
            <w:tcW w:type="dxa" w:w="700"/>
            <w:tcBorders>
              <w:top w:val="single" w:color="B0B7C3" w:sz="1"/>
              <w:left w:val="single" w:color="B0B7C3" w:sz="1"/>
              <w:bottom w:val="single" w:color="B0B7C3" w:sz="1"/>
              <w:right w:val="single" w:color="B0B7C3" w:sz="1"/>
            </w:tcBorders>
            <w:shd w:fill="F8FAFC" w:val="clear"/>
            <w:tcMar>
              <w:top w:type="dxa" w:w="60"/>
              <w:left w:type="dxa" w:w="120"/>
              <w:bottom w:type="dxa" w:w="60"/>
              <w:right w:type="dxa" w:w="120"/>
            </w:tcMar>
            <w:vAlign w:val="center"/>
          </w:tcPr>
          <w:p>
            <w:r>
              <w:rPr>
                <w:b w:val="false"/>
                <w:bCs w:val="false"/>
                <w:sz w:val="19"/>
                <w:szCs w:val="19"/>
              </w:rPr>
              <w:t xml:space="preserve">F1</w:t>
            </w:r>
          </w:p>
        </w:tc>
        <w:tc>
          <w:tcPr>
            <w:tcW w:type="dxa" w:w="4700"/>
            <w:tcBorders>
              <w:top w:val="single" w:color="B0B7C3" w:sz="1"/>
              <w:left w:val="single" w:color="B0B7C3" w:sz="1"/>
              <w:bottom w:val="single" w:color="B0B7C3" w:sz="1"/>
              <w:right w:val="single" w:color="B0B7C3" w:sz="1"/>
            </w:tcBorders>
            <w:shd w:fill="F8FAFC" w:val="clear"/>
            <w:tcMar>
              <w:top w:type="dxa" w:w="60"/>
              <w:left w:type="dxa" w:w="120"/>
              <w:bottom w:type="dxa" w:w="60"/>
              <w:right w:type="dxa" w:w="120"/>
            </w:tcMar>
            <w:vAlign w:val="center"/>
          </w:tcPr>
          <w:p>
            <w:r>
              <w:rPr>
                <w:b w:val="false"/>
                <w:bCs w:val="false"/>
                <w:sz w:val="19"/>
                <w:szCs w:val="19"/>
              </w:rPr>
              <w:t xml:space="preserve">Evaluation data leakage across dataset splits</w:t>
            </w:r>
          </w:p>
        </w:tc>
        <w:tc>
          <w:tcPr>
            <w:tcW w:type="dxa" w:w="1200"/>
            <w:tcBorders>
              <w:top w:val="single" w:color="B0B7C3" w:sz="1"/>
              <w:left w:val="single" w:color="B0B7C3" w:sz="1"/>
              <w:bottom w:val="single" w:color="B0B7C3" w:sz="1"/>
              <w:right w:val="single" w:color="B0B7C3" w:sz="1"/>
            </w:tcBorders>
            <w:shd w:fill="F8FAFC" w:val="clear"/>
            <w:tcMar>
              <w:top w:type="dxa" w:w="60"/>
              <w:left w:type="dxa" w:w="120"/>
              <w:bottom w:type="dxa" w:w="60"/>
              <w:right w:type="dxa" w:w="120"/>
            </w:tcMar>
            <w:vAlign w:val="center"/>
          </w:tcPr>
          <w:p>
            <w:r>
              <w:rPr>
                <w:b w:val="false"/>
                <w:bCs w:val="false"/>
                <w:sz w:val="19"/>
                <w:szCs w:val="19"/>
              </w:rPr>
              <w:t xml:space="preserve">Critical</w:t>
            </w:r>
          </w:p>
        </w:tc>
        <w:tc>
          <w:tcPr>
            <w:tcW w:type="dxa" w:w="2760"/>
            <w:tcBorders>
              <w:top w:val="single" w:color="B0B7C3" w:sz="1"/>
              <w:left w:val="single" w:color="B0B7C3" w:sz="1"/>
              <w:bottom w:val="single" w:color="B0B7C3" w:sz="1"/>
              <w:right w:val="single" w:color="B0B7C3" w:sz="1"/>
            </w:tcBorders>
            <w:shd w:fill="F8FAFC" w:val="clear"/>
            <w:tcMar>
              <w:top w:type="dxa" w:w="60"/>
              <w:left w:type="dxa" w:w="120"/>
              <w:bottom w:type="dxa" w:w="60"/>
              <w:right w:type="dxa" w:w="120"/>
            </w:tcMar>
            <w:vAlign w:val="center"/>
          </w:tcPr>
          <w:p>
            <w:r>
              <w:rPr>
                <w:b w:val="false"/>
                <w:bCs w:val="false"/>
                <w:sz w:val="19"/>
                <w:szCs w:val="19"/>
              </w:rPr>
              <w:t xml:space="preserve">Quarantined clean splits built; every headline metric re-measured (Section 6.4).</w:t>
            </w:r>
          </w:p>
        </w:tc>
      </w:tr>
      <w:tr>
        <w:tc>
          <w:tcPr>
            <w:tcW w:type="dxa" w:w="700"/>
            <w:tcBorders>
              <w:top w:val="single" w:color="B0B7C3" w:sz="1"/>
              <w:left w:val="single" w:color="B0B7C3" w:sz="1"/>
              <w:bottom w:val="single" w:color="B0B7C3" w:sz="1"/>
              <w:right w:val="single" w:color="B0B7C3" w:sz="1"/>
            </w:tcBorders>
            <w:shd w:fill="FFFFFF" w:val="clear"/>
            <w:tcMar>
              <w:top w:type="dxa" w:w="60"/>
              <w:left w:type="dxa" w:w="120"/>
              <w:bottom w:type="dxa" w:w="60"/>
              <w:right w:type="dxa" w:w="120"/>
            </w:tcMar>
            <w:vAlign w:val="center"/>
          </w:tcPr>
          <w:p>
            <w:r>
              <w:rPr>
                <w:b w:val="false"/>
                <w:bCs w:val="false"/>
                <w:sz w:val="19"/>
                <w:szCs w:val="19"/>
              </w:rPr>
              <w:t xml:space="preserve">F2</w:t>
            </w:r>
          </w:p>
        </w:tc>
        <w:tc>
          <w:tcPr>
            <w:tcW w:type="dxa" w:w="4700"/>
            <w:tcBorders>
              <w:top w:val="single" w:color="B0B7C3" w:sz="1"/>
              <w:left w:val="single" w:color="B0B7C3" w:sz="1"/>
              <w:bottom w:val="single" w:color="B0B7C3" w:sz="1"/>
              <w:right w:val="single" w:color="B0B7C3" w:sz="1"/>
            </w:tcBorders>
            <w:shd w:fill="FFFFFF" w:val="clear"/>
            <w:tcMar>
              <w:top w:type="dxa" w:w="60"/>
              <w:left w:type="dxa" w:w="120"/>
              <w:bottom w:type="dxa" w:w="60"/>
              <w:right w:type="dxa" w:w="120"/>
            </w:tcMar>
            <w:vAlign w:val="center"/>
          </w:tcPr>
          <w:p>
            <w:r>
              <w:rPr>
                <w:b w:val="false"/>
                <w:bCs w:val="false"/>
                <w:sz w:val="19"/>
                <w:szCs w:val="19"/>
              </w:rPr>
              <w:t xml:space="preserve">Cross-dataset validation script silently broken (reported 17.83% with missing classes)</w:t>
            </w:r>
          </w:p>
        </w:tc>
        <w:tc>
          <w:tcPr>
            <w:tcW w:type="dxa" w:w="1200"/>
            <w:tcBorders>
              <w:top w:val="single" w:color="B0B7C3" w:sz="1"/>
              <w:left w:val="single" w:color="B0B7C3" w:sz="1"/>
              <w:bottom w:val="single" w:color="B0B7C3" w:sz="1"/>
              <w:right w:val="single" w:color="B0B7C3" w:sz="1"/>
            </w:tcBorders>
            <w:shd w:fill="FFFFFF" w:val="clear"/>
            <w:tcMar>
              <w:top w:type="dxa" w:w="60"/>
              <w:left w:type="dxa" w:w="120"/>
              <w:bottom w:type="dxa" w:w="60"/>
              <w:right w:type="dxa" w:w="120"/>
            </w:tcMar>
            <w:vAlign w:val="center"/>
          </w:tcPr>
          <w:p>
            <w:r>
              <w:rPr>
                <w:b w:val="false"/>
                <w:bCs w:val="false"/>
                <w:sz w:val="19"/>
                <w:szCs w:val="19"/>
              </w:rPr>
              <w:t xml:space="preserve">High</w:t>
            </w:r>
          </w:p>
        </w:tc>
        <w:tc>
          <w:tcPr>
            <w:tcW w:type="dxa" w:w="2760"/>
            <w:tcBorders>
              <w:top w:val="single" w:color="B0B7C3" w:sz="1"/>
              <w:left w:val="single" w:color="B0B7C3" w:sz="1"/>
              <w:bottom w:val="single" w:color="B0B7C3" w:sz="1"/>
              <w:right w:val="single" w:color="B0B7C3" w:sz="1"/>
            </w:tcBorders>
            <w:shd w:fill="FFFFFF" w:val="clear"/>
            <w:tcMar>
              <w:top w:type="dxa" w:w="60"/>
              <w:left w:type="dxa" w:w="120"/>
              <w:bottom w:type="dxa" w:w="60"/>
              <w:right w:type="dxa" w:w="120"/>
            </w:tcMar>
            <w:vAlign w:val="center"/>
          </w:tcPr>
          <w:p>
            <w:r>
              <w:rPr>
                <w:b w:val="false"/>
                <w:bCs w:val="false"/>
                <w:sz w:val="19"/>
                <w:szCs w:val="19"/>
              </w:rPr>
              <w:t xml:space="preserve">Fixed: rewritten domain-split logic; honest studio-to-field gap ~28-40pp measured.</w:t>
            </w:r>
          </w:p>
        </w:tc>
      </w:tr>
      <w:tr>
        <w:tc>
          <w:tcPr>
            <w:tcW w:type="dxa" w:w="700"/>
            <w:tcBorders>
              <w:top w:val="single" w:color="B0B7C3" w:sz="1"/>
              <w:left w:val="single" w:color="B0B7C3" w:sz="1"/>
              <w:bottom w:val="single" w:color="B0B7C3" w:sz="1"/>
              <w:right w:val="single" w:color="B0B7C3" w:sz="1"/>
            </w:tcBorders>
            <w:shd w:fill="F8FAFC" w:val="clear"/>
            <w:tcMar>
              <w:top w:type="dxa" w:w="60"/>
              <w:left w:type="dxa" w:w="120"/>
              <w:bottom w:type="dxa" w:w="60"/>
              <w:right w:type="dxa" w:w="120"/>
            </w:tcMar>
            <w:vAlign w:val="center"/>
          </w:tcPr>
          <w:p>
            <w:r>
              <w:rPr>
                <w:b w:val="false"/>
                <w:bCs w:val="false"/>
                <w:sz w:val="19"/>
                <w:szCs w:val="19"/>
              </w:rPr>
              <w:t xml:space="preserve">F3</w:t>
            </w:r>
          </w:p>
        </w:tc>
        <w:tc>
          <w:tcPr>
            <w:tcW w:type="dxa" w:w="4700"/>
            <w:tcBorders>
              <w:top w:val="single" w:color="B0B7C3" w:sz="1"/>
              <w:left w:val="single" w:color="B0B7C3" w:sz="1"/>
              <w:bottom w:val="single" w:color="B0B7C3" w:sz="1"/>
              <w:right w:val="single" w:color="B0B7C3" w:sz="1"/>
            </w:tcBorders>
            <w:shd w:fill="F8FAFC" w:val="clear"/>
            <w:tcMar>
              <w:top w:type="dxa" w:w="60"/>
              <w:left w:type="dxa" w:w="120"/>
              <w:bottom w:type="dxa" w:w="60"/>
              <w:right w:type="dxa" w:w="120"/>
            </w:tcMar>
            <w:vAlign w:val="center"/>
          </w:tcPr>
          <w:p>
            <w:r>
              <w:rPr>
                <w:b w:val="false"/>
                <w:bCs w:val="false"/>
                <w:sz w:val="19"/>
                <w:szCs w:val="19"/>
              </w:rPr>
              <w:t xml:space="preserve">PCA report cherry-picked its headline compression number</w:t>
            </w:r>
          </w:p>
        </w:tc>
        <w:tc>
          <w:tcPr>
            <w:tcW w:type="dxa" w:w="1200"/>
            <w:tcBorders>
              <w:top w:val="single" w:color="B0B7C3" w:sz="1"/>
              <w:left w:val="single" w:color="B0B7C3" w:sz="1"/>
              <w:bottom w:val="single" w:color="B0B7C3" w:sz="1"/>
              <w:right w:val="single" w:color="B0B7C3" w:sz="1"/>
            </w:tcBorders>
            <w:shd w:fill="F8FAFC" w:val="clear"/>
            <w:tcMar>
              <w:top w:type="dxa" w:w="60"/>
              <w:left w:type="dxa" w:w="120"/>
              <w:bottom w:type="dxa" w:w="60"/>
              <w:right w:type="dxa" w:w="120"/>
            </w:tcMar>
            <w:vAlign w:val="center"/>
          </w:tcPr>
          <w:p>
            <w:r>
              <w:rPr>
                <w:b w:val="false"/>
                <w:bCs w:val="false"/>
                <w:sz w:val="19"/>
                <w:szCs w:val="19"/>
              </w:rPr>
              <w:t xml:space="preserve">Medium</w:t>
            </w:r>
          </w:p>
        </w:tc>
        <w:tc>
          <w:tcPr>
            <w:tcW w:type="dxa" w:w="2760"/>
            <w:tcBorders>
              <w:top w:val="single" w:color="B0B7C3" w:sz="1"/>
              <w:left w:val="single" w:color="B0B7C3" w:sz="1"/>
              <w:bottom w:val="single" w:color="B0B7C3" w:sz="1"/>
              <w:right w:val="single" w:color="B0B7C3" w:sz="1"/>
            </w:tcBorders>
            <w:shd w:fill="F8FAFC" w:val="clear"/>
            <w:tcMar>
              <w:top w:type="dxa" w:w="60"/>
              <w:left w:type="dxa" w:w="120"/>
              <w:bottom w:type="dxa" w:w="60"/>
              <w:right w:type="dxa" w:w="120"/>
            </w:tcMar>
            <w:vAlign w:val="center"/>
          </w:tcPr>
          <w:p>
            <w:r>
              <w:rPr>
                <w:b w:val="false"/>
                <w:bCs w:val="false"/>
                <w:sz w:val="19"/>
                <w:szCs w:val="19"/>
              </w:rPr>
              <w:t xml:space="preserve">Fixed: sweep widened to 9 dimensions; best-model-per-dimension reporting adopted.</w:t>
            </w:r>
          </w:p>
        </w:tc>
      </w:tr>
      <w:tr>
        <w:tc>
          <w:tcPr>
            <w:tcW w:type="dxa" w:w="700"/>
            <w:tcBorders>
              <w:top w:val="single" w:color="B0B7C3" w:sz="1"/>
              <w:left w:val="single" w:color="B0B7C3" w:sz="1"/>
              <w:bottom w:val="single" w:color="B0B7C3" w:sz="1"/>
              <w:right w:val="single" w:color="B0B7C3" w:sz="1"/>
            </w:tcBorders>
            <w:shd w:fill="FFFFFF" w:val="clear"/>
            <w:tcMar>
              <w:top w:type="dxa" w:w="60"/>
              <w:left w:type="dxa" w:w="120"/>
              <w:bottom w:type="dxa" w:w="60"/>
              <w:right w:type="dxa" w:w="120"/>
            </w:tcMar>
            <w:vAlign w:val="center"/>
          </w:tcPr>
          <w:p>
            <w:r>
              <w:rPr>
                <w:b w:val="false"/>
                <w:bCs w:val="false"/>
                <w:sz w:val="19"/>
                <w:szCs w:val="19"/>
              </w:rPr>
              <w:t xml:space="preserve">F4</w:t>
            </w:r>
          </w:p>
        </w:tc>
        <w:tc>
          <w:tcPr>
            <w:tcW w:type="dxa" w:w="4700"/>
            <w:tcBorders>
              <w:top w:val="single" w:color="B0B7C3" w:sz="1"/>
              <w:left w:val="single" w:color="B0B7C3" w:sz="1"/>
              <w:bottom w:val="single" w:color="B0B7C3" w:sz="1"/>
              <w:right w:val="single" w:color="B0B7C3" w:sz="1"/>
            </w:tcBorders>
            <w:shd w:fill="FFFFFF" w:val="clear"/>
            <w:tcMar>
              <w:top w:type="dxa" w:w="60"/>
              <w:left w:type="dxa" w:w="120"/>
              <w:bottom w:type="dxa" w:w="60"/>
              <w:right w:type="dxa" w:w="120"/>
            </w:tcMar>
            <w:vAlign w:val="center"/>
          </w:tcPr>
          <w:p>
            <w:r>
              <w:rPr>
                <w:b w:val="false"/>
                <w:bCs w:val="false"/>
                <w:sz w:val="19"/>
                <w:szCs w:val="19"/>
              </w:rPr>
              <w:t xml:space="preserve">Detector recall limited by tiny objects, not class confusion</w:t>
            </w:r>
          </w:p>
        </w:tc>
        <w:tc>
          <w:tcPr>
            <w:tcW w:type="dxa" w:w="1200"/>
            <w:tcBorders>
              <w:top w:val="single" w:color="B0B7C3" w:sz="1"/>
              <w:left w:val="single" w:color="B0B7C3" w:sz="1"/>
              <w:bottom w:val="single" w:color="B0B7C3" w:sz="1"/>
              <w:right w:val="single" w:color="B0B7C3" w:sz="1"/>
            </w:tcBorders>
            <w:shd w:fill="FFFFFF" w:val="clear"/>
            <w:tcMar>
              <w:top w:type="dxa" w:w="60"/>
              <w:left w:type="dxa" w:w="120"/>
              <w:bottom w:type="dxa" w:w="60"/>
              <w:right w:type="dxa" w:w="120"/>
            </w:tcMar>
            <w:vAlign w:val="center"/>
          </w:tcPr>
          <w:p>
            <w:r>
              <w:rPr>
                <w:b w:val="false"/>
                <w:bCs w:val="false"/>
                <w:sz w:val="19"/>
                <w:szCs w:val="19"/>
              </w:rPr>
              <w:t xml:space="preserve">High</w:t>
            </w:r>
          </w:p>
        </w:tc>
        <w:tc>
          <w:tcPr>
            <w:tcW w:type="dxa" w:w="2760"/>
            <w:tcBorders>
              <w:top w:val="single" w:color="B0B7C3" w:sz="1"/>
              <w:left w:val="single" w:color="B0B7C3" w:sz="1"/>
              <w:bottom w:val="single" w:color="B0B7C3" w:sz="1"/>
              <w:right w:val="single" w:color="B0B7C3" w:sz="1"/>
            </w:tcBorders>
            <w:shd w:fill="FFFFFF" w:val="clear"/>
            <w:tcMar>
              <w:top w:type="dxa" w:w="60"/>
              <w:left w:type="dxa" w:w="120"/>
              <w:bottom w:type="dxa" w:w="60"/>
              <w:right w:type="dxa" w:w="120"/>
            </w:tcMar>
            <w:vAlign w:val="center"/>
          </w:tcPr>
          <w:p>
            <w:r>
              <w:rPr>
                <w:b w:val="false"/>
                <w:bCs w:val="false"/>
                <w:sz w:val="19"/>
                <w:szCs w:val="19"/>
              </w:rPr>
              <w:t xml:space="preserve">Diagnosed via confusion matrix + box-size analysis; 100-epoch retrain fixed convergence; 960px and sliced-inference alternatives tested and not adopted.</w:t>
            </w:r>
          </w:p>
        </w:tc>
      </w:tr>
      <w:tr>
        <w:tc>
          <w:tcPr>
            <w:tcW w:type="dxa" w:w="700"/>
            <w:tcBorders>
              <w:top w:val="single" w:color="B0B7C3" w:sz="1"/>
              <w:left w:val="single" w:color="B0B7C3" w:sz="1"/>
              <w:bottom w:val="single" w:color="B0B7C3" w:sz="1"/>
              <w:right w:val="single" w:color="B0B7C3" w:sz="1"/>
            </w:tcBorders>
            <w:shd w:fill="F8FAFC" w:val="clear"/>
            <w:tcMar>
              <w:top w:type="dxa" w:w="60"/>
              <w:left w:type="dxa" w:w="120"/>
              <w:bottom w:type="dxa" w:w="60"/>
              <w:right w:type="dxa" w:w="120"/>
            </w:tcMar>
            <w:vAlign w:val="center"/>
          </w:tcPr>
          <w:p>
            <w:r>
              <w:rPr>
                <w:b w:val="false"/>
                <w:bCs w:val="false"/>
                <w:sz w:val="19"/>
                <w:szCs w:val="19"/>
              </w:rPr>
              <w:t xml:space="preserve">F4b</w:t>
            </w:r>
          </w:p>
        </w:tc>
        <w:tc>
          <w:tcPr>
            <w:tcW w:type="dxa" w:w="4700"/>
            <w:tcBorders>
              <w:top w:val="single" w:color="B0B7C3" w:sz="1"/>
              <w:left w:val="single" w:color="B0B7C3" w:sz="1"/>
              <w:bottom w:val="single" w:color="B0B7C3" w:sz="1"/>
              <w:right w:val="single" w:color="B0B7C3" w:sz="1"/>
            </w:tcBorders>
            <w:shd w:fill="F8FAFC" w:val="clear"/>
            <w:tcMar>
              <w:top w:type="dxa" w:w="60"/>
              <w:left w:type="dxa" w:w="120"/>
              <w:bottom w:type="dxa" w:w="60"/>
              <w:right w:type="dxa" w:w="120"/>
            </w:tcMar>
            <w:vAlign w:val="center"/>
          </w:tcPr>
          <w:p>
            <w:r>
              <w:rPr>
                <w:b w:val="false"/>
                <w:bCs w:val="false"/>
                <w:sz w:val="19"/>
                <w:szCs w:val="19"/>
              </w:rPr>
              <w:t xml:space="preserve">Stage 2 train/serve skew: 92.93% on GT crops but only 76.91% on the detector's own crops</w:t>
            </w:r>
          </w:p>
        </w:tc>
        <w:tc>
          <w:tcPr>
            <w:tcW w:type="dxa" w:w="1200"/>
            <w:tcBorders>
              <w:top w:val="single" w:color="B0B7C3" w:sz="1"/>
              <w:left w:val="single" w:color="B0B7C3" w:sz="1"/>
              <w:bottom w:val="single" w:color="B0B7C3" w:sz="1"/>
              <w:right w:val="single" w:color="B0B7C3" w:sz="1"/>
            </w:tcBorders>
            <w:shd w:fill="F8FAFC" w:val="clear"/>
            <w:tcMar>
              <w:top w:type="dxa" w:w="60"/>
              <w:left w:type="dxa" w:w="120"/>
              <w:bottom w:type="dxa" w:w="60"/>
              <w:right w:type="dxa" w:w="120"/>
            </w:tcMar>
            <w:vAlign w:val="center"/>
          </w:tcPr>
          <w:p>
            <w:r>
              <w:rPr>
                <w:b w:val="false"/>
                <w:bCs w:val="false"/>
                <w:sz w:val="19"/>
                <w:szCs w:val="19"/>
              </w:rPr>
              <w:t xml:space="preserve">High</w:t>
            </w:r>
          </w:p>
        </w:tc>
        <w:tc>
          <w:tcPr>
            <w:tcW w:type="dxa" w:w="2760"/>
            <w:tcBorders>
              <w:top w:val="single" w:color="B0B7C3" w:sz="1"/>
              <w:left w:val="single" w:color="B0B7C3" w:sz="1"/>
              <w:bottom w:val="single" w:color="B0B7C3" w:sz="1"/>
              <w:right w:val="single" w:color="B0B7C3" w:sz="1"/>
            </w:tcBorders>
            <w:shd w:fill="F8FAFC" w:val="clear"/>
            <w:tcMar>
              <w:top w:type="dxa" w:w="60"/>
              <w:left w:type="dxa" w:w="120"/>
              <w:bottom w:type="dxa" w:w="60"/>
              <w:right w:type="dxa" w:w="120"/>
            </w:tcMar>
            <w:vAlign w:val="center"/>
          </w:tcPr>
          <w:p>
            <w:r>
              <w:rPr>
                <w:b w:val="false"/>
                <w:bCs w:val="false"/>
                <w:sz w:val="19"/>
                <w:szCs w:val="19"/>
              </w:rPr>
              <w:t xml:space="preserve">Fixed: fine-tuned on a mixed GT + detector-crop dataset; production accuracy raised to 88.88%, clean accuracy to 93.77%.</w:t>
            </w:r>
          </w:p>
        </w:tc>
      </w:tr>
      <w:tr>
        <w:tc>
          <w:tcPr>
            <w:tcW w:type="dxa" w:w="700"/>
            <w:tcBorders>
              <w:top w:val="single" w:color="B0B7C3" w:sz="1"/>
              <w:left w:val="single" w:color="B0B7C3" w:sz="1"/>
              <w:bottom w:val="single" w:color="B0B7C3" w:sz="1"/>
              <w:right w:val="single" w:color="B0B7C3" w:sz="1"/>
            </w:tcBorders>
            <w:shd w:fill="FFFFFF" w:val="clear"/>
            <w:tcMar>
              <w:top w:type="dxa" w:w="60"/>
              <w:left w:type="dxa" w:w="120"/>
              <w:bottom w:type="dxa" w:w="60"/>
              <w:right w:type="dxa" w:w="120"/>
            </w:tcMar>
            <w:vAlign w:val="center"/>
          </w:tcPr>
          <w:p>
            <w:r>
              <w:rPr>
                <w:b w:val="false"/>
                <w:bCs w:val="false"/>
                <w:sz w:val="19"/>
                <w:szCs w:val="19"/>
              </w:rPr>
              <w:t xml:space="preserve">F4c</w:t>
            </w:r>
          </w:p>
        </w:tc>
        <w:tc>
          <w:tcPr>
            <w:tcW w:type="dxa" w:w="4700"/>
            <w:tcBorders>
              <w:top w:val="single" w:color="B0B7C3" w:sz="1"/>
              <w:left w:val="single" w:color="B0B7C3" w:sz="1"/>
              <w:bottom w:val="single" w:color="B0B7C3" w:sz="1"/>
              <w:right w:val="single" w:color="B0B7C3" w:sz="1"/>
            </w:tcBorders>
            <w:shd w:fill="FFFFFF" w:val="clear"/>
            <w:tcMar>
              <w:top w:type="dxa" w:w="60"/>
              <w:left w:type="dxa" w:w="120"/>
              <w:bottom w:type="dxa" w:w="60"/>
              <w:right w:type="dxa" w:w="120"/>
            </w:tcMar>
            <w:vAlign w:val="center"/>
          </w:tcPr>
          <w:p>
            <w:r>
              <w:rPr>
                <w:b w:val="false"/>
                <w:bCs w:val="false"/>
                <w:sz w:val="19"/>
                <w:szCs w:val="19"/>
              </w:rPr>
              <w:t xml:space="preserve">Tile-augmented training tested as a further tiny-object fix</w:t>
            </w:r>
          </w:p>
        </w:tc>
        <w:tc>
          <w:tcPr>
            <w:tcW w:type="dxa" w:w="1200"/>
            <w:tcBorders>
              <w:top w:val="single" w:color="B0B7C3" w:sz="1"/>
              <w:left w:val="single" w:color="B0B7C3" w:sz="1"/>
              <w:bottom w:val="single" w:color="B0B7C3" w:sz="1"/>
              <w:right w:val="single" w:color="B0B7C3" w:sz="1"/>
            </w:tcBorders>
            <w:shd w:fill="FFFFFF" w:val="clear"/>
            <w:tcMar>
              <w:top w:type="dxa" w:w="60"/>
              <w:left w:type="dxa" w:w="120"/>
              <w:bottom w:type="dxa" w:w="60"/>
              <w:right w:type="dxa" w:w="120"/>
            </w:tcMar>
            <w:vAlign w:val="center"/>
          </w:tcPr>
          <w:p>
            <w:r>
              <w:rPr>
                <w:b w:val="false"/>
                <w:bCs w:val="false"/>
                <w:sz w:val="19"/>
                <w:szCs w:val="19"/>
              </w:rPr>
              <w:t xml:space="preserve">Info</w:t>
            </w:r>
          </w:p>
        </w:tc>
        <w:tc>
          <w:tcPr>
            <w:tcW w:type="dxa" w:w="2760"/>
            <w:tcBorders>
              <w:top w:val="single" w:color="B0B7C3" w:sz="1"/>
              <w:left w:val="single" w:color="B0B7C3" w:sz="1"/>
              <w:bottom w:val="single" w:color="B0B7C3" w:sz="1"/>
              <w:right w:val="single" w:color="B0B7C3" w:sz="1"/>
            </w:tcBorders>
            <w:shd w:fill="FFFFFF" w:val="clear"/>
            <w:tcMar>
              <w:top w:type="dxa" w:w="60"/>
              <w:left w:type="dxa" w:w="120"/>
              <w:bottom w:type="dxa" w:w="60"/>
              <w:right w:type="dxa" w:w="120"/>
            </w:tcMar>
            <w:vAlign w:val="center"/>
          </w:tcPr>
          <w:p>
            <w:r>
              <w:rPr>
                <w:b w:val="false"/>
                <w:bCs w:val="false"/>
                <w:sz w:val="19"/>
                <w:szCs w:val="19"/>
              </w:rPr>
              <w:t xml:space="preserve">Rejected: regressed clean-test mAP50 and collapsed organic recall 5x; not deployed.</w:t>
            </w:r>
          </w:p>
        </w:tc>
      </w:tr>
      <w:tr>
        <w:tc>
          <w:tcPr>
            <w:tcW w:type="dxa" w:w="700"/>
            <w:tcBorders>
              <w:top w:val="single" w:color="B0B7C3" w:sz="1"/>
              <w:left w:val="single" w:color="B0B7C3" w:sz="1"/>
              <w:bottom w:val="single" w:color="B0B7C3" w:sz="1"/>
              <w:right w:val="single" w:color="B0B7C3" w:sz="1"/>
            </w:tcBorders>
            <w:shd w:fill="F8FAFC" w:val="clear"/>
            <w:tcMar>
              <w:top w:type="dxa" w:w="60"/>
              <w:left w:type="dxa" w:w="120"/>
              <w:bottom w:type="dxa" w:w="60"/>
              <w:right w:type="dxa" w:w="120"/>
            </w:tcMar>
            <w:vAlign w:val="center"/>
          </w:tcPr>
          <w:p>
            <w:r>
              <w:rPr>
                <w:b w:val="false"/>
                <w:bCs w:val="false"/>
                <w:sz w:val="19"/>
                <w:szCs w:val="19"/>
              </w:rPr>
              <w:t xml:space="preserve">F5</w:t>
            </w:r>
          </w:p>
        </w:tc>
        <w:tc>
          <w:tcPr>
            <w:tcW w:type="dxa" w:w="4700"/>
            <w:tcBorders>
              <w:top w:val="single" w:color="B0B7C3" w:sz="1"/>
              <w:left w:val="single" w:color="B0B7C3" w:sz="1"/>
              <w:bottom w:val="single" w:color="B0B7C3" w:sz="1"/>
              <w:right w:val="single" w:color="B0B7C3" w:sz="1"/>
            </w:tcBorders>
            <w:shd w:fill="F8FAFC" w:val="clear"/>
            <w:tcMar>
              <w:top w:type="dxa" w:w="60"/>
              <w:left w:type="dxa" w:w="120"/>
              <w:bottom w:type="dxa" w:w="60"/>
              <w:right w:type="dxa" w:w="120"/>
            </w:tcMar>
            <w:vAlign w:val="center"/>
          </w:tcPr>
          <w:p>
            <w:r>
              <w:rPr>
                <w:b w:val="false"/>
                <w:bCs w:val="false"/>
                <w:sz w:val="19"/>
                <w:szCs w:val="19"/>
              </w:rPr>
              <w:t xml:space="preserve">Detector confidence operating point never tuned (used framework default)</w:t>
            </w:r>
          </w:p>
        </w:tc>
        <w:tc>
          <w:tcPr>
            <w:tcW w:type="dxa" w:w="1200"/>
            <w:tcBorders>
              <w:top w:val="single" w:color="B0B7C3" w:sz="1"/>
              <w:left w:val="single" w:color="B0B7C3" w:sz="1"/>
              <w:bottom w:val="single" w:color="B0B7C3" w:sz="1"/>
              <w:right w:val="single" w:color="B0B7C3" w:sz="1"/>
            </w:tcBorders>
            <w:shd w:fill="F8FAFC" w:val="clear"/>
            <w:tcMar>
              <w:top w:type="dxa" w:w="60"/>
              <w:left w:type="dxa" w:w="120"/>
              <w:bottom w:type="dxa" w:w="60"/>
              <w:right w:type="dxa" w:w="120"/>
            </w:tcMar>
            <w:vAlign w:val="center"/>
          </w:tcPr>
          <w:p>
            <w:r>
              <w:rPr>
                <w:b w:val="false"/>
                <w:bCs w:val="false"/>
                <w:sz w:val="19"/>
                <w:szCs w:val="19"/>
              </w:rPr>
              <w:t xml:space="preserve">Medium</w:t>
            </w:r>
          </w:p>
        </w:tc>
        <w:tc>
          <w:tcPr>
            <w:tcW w:type="dxa" w:w="2760"/>
            <w:tcBorders>
              <w:top w:val="single" w:color="B0B7C3" w:sz="1"/>
              <w:left w:val="single" w:color="B0B7C3" w:sz="1"/>
              <w:bottom w:val="single" w:color="B0B7C3" w:sz="1"/>
              <w:right w:val="single" w:color="B0B7C3" w:sz="1"/>
            </w:tcBorders>
            <w:shd w:fill="F8FAFC" w:val="clear"/>
            <w:tcMar>
              <w:top w:type="dxa" w:w="60"/>
              <w:left w:type="dxa" w:w="120"/>
              <w:bottom w:type="dxa" w:w="60"/>
              <w:right w:type="dxa" w:w="120"/>
            </w:tcMar>
            <w:vAlign w:val="center"/>
          </w:tcPr>
          <w:p>
            <w:r>
              <w:rPr>
                <w:b w:val="false"/>
                <w:bCs w:val="false"/>
                <w:sz w:val="19"/>
                <w:szCs w:val="19"/>
              </w:rPr>
              <w:t xml:space="preserve">Fixed: swept and set; later re-tuned again after F9.</w:t>
            </w:r>
          </w:p>
        </w:tc>
      </w:tr>
      <w:tr>
        <w:tc>
          <w:tcPr>
            <w:tcW w:type="dxa" w:w="700"/>
            <w:tcBorders>
              <w:top w:val="single" w:color="B0B7C3" w:sz="1"/>
              <w:left w:val="single" w:color="B0B7C3" w:sz="1"/>
              <w:bottom w:val="single" w:color="B0B7C3" w:sz="1"/>
              <w:right w:val="single" w:color="B0B7C3" w:sz="1"/>
            </w:tcBorders>
            <w:shd w:fill="FFFFFF" w:val="clear"/>
            <w:tcMar>
              <w:top w:type="dxa" w:w="60"/>
              <w:left w:type="dxa" w:w="120"/>
              <w:bottom w:type="dxa" w:w="60"/>
              <w:right w:type="dxa" w:w="120"/>
            </w:tcMar>
            <w:vAlign w:val="center"/>
          </w:tcPr>
          <w:p>
            <w:r>
              <w:rPr>
                <w:b w:val="false"/>
                <w:bCs w:val="false"/>
                <w:sz w:val="19"/>
                <w:szCs w:val="19"/>
              </w:rPr>
              <w:t xml:space="preserve">F6</w:t>
            </w:r>
          </w:p>
        </w:tc>
        <w:tc>
          <w:tcPr>
            <w:tcW w:type="dxa" w:w="4700"/>
            <w:tcBorders>
              <w:top w:val="single" w:color="B0B7C3" w:sz="1"/>
              <w:left w:val="single" w:color="B0B7C3" w:sz="1"/>
              <w:bottom w:val="single" w:color="B0B7C3" w:sz="1"/>
              <w:right w:val="single" w:color="B0B7C3" w:sz="1"/>
            </w:tcBorders>
            <w:shd w:fill="FFFFFF" w:val="clear"/>
            <w:tcMar>
              <w:top w:type="dxa" w:w="60"/>
              <w:left w:type="dxa" w:w="120"/>
              <w:bottom w:type="dxa" w:w="60"/>
              <w:right w:type="dxa" w:w="120"/>
            </w:tcMar>
            <w:vAlign w:val="center"/>
          </w:tcPr>
          <w:p>
            <w:r>
              <w:rPr>
                <w:b w:val="false"/>
                <w:bCs w:val="false"/>
                <w:sz w:val="19"/>
                <w:szCs w:val="19"/>
              </w:rPr>
              <w:t xml:space="preserve">Minor label/data hygiene issues (corrupt JPEGs, stray polygon labels)</w:t>
            </w:r>
          </w:p>
        </w:tc>
        <w:tc>
          <w:tcPr>
            <w:tcW w:type="dxa" w:w="1200"/>
            <w:tcBorders>
              <w:top w:val="single" w:color="B0B7C3" w:sz="1"/>
              <w:left w:val="single" w:color="B0B7C3" w:sz="1"/>
              <w:bottom w:val="single" w:color="B0B7C3" w:sz="1"/>
              <w:right w:val="single" w:color="B0B7C3" w:sz="1"/>
            </w:tcBorders>
            <w:shd w:fill="FFFFFF" w:val="clear"/>
            <w:tcMar>
              <w:top w:type="dxa" w:w="60"/>
              <w:left w:type="dxa" w:w="120"/>
              <w:bottom w:type="dxa" w:w="60"/>
              <w:right w:type="dxa" w:w="120"/>
            </w:tcMar>
            <w:vAlign w:val="center"/>
          </w:tcPr>
          <w:p>
            <w:r>
              <w:rPr>
                <w:b w:val="false"/>
                <w:bCs w:val="false"/>
                <w:sz w:val="19"/>
                <w:szCs w:val="19"/>
              </w:rPr>
              <w:t xml:space="preserve">Low</w:t>
            </w:r>
          </w:p>
        </w:tc>
        <w:tc>
          <w:tcPr>
            <w:tcW w:type="dxa" w:w="2760"/>
            <w:tcBorders>
              <w:top w:val="single" w:color="B0B7C3" w:sz="1"/>
              <w:left w:val="single" w:color="B0B7C3" w:sz="1"/>
              <w:bottom w:val="single" w:color="B0B7C3" w:sz="1"/>
              <w:right w:val="single" w:color="B0B7C3" w:sz="1"/>
            </w:tcBorders>
            <w:shd w:fill="FFFFFF" w:val="clear"/>
            <w:tcMar>
              <w:top w:type="dxa" w:w="60"/>
              <w:left w:type="dxa" w:w="120"/>
              <w:bottom w:type="dxa" w:w="60"/>
              <w:right w:type="dxa" w:w="120"/>
            </w:tcMar>
            <w:vAlign w:val="center"/>
          </w:tcPr>
          <w:p>
            <w:r>
              <w:rPr>
                <w:b w:val="false"/>
                <w:bCs w:val="false"/>
                <w:sz w:val="19"/>
                <w:szCs w:val="19"/>
              </w:rPr>
              <w:t xml:space="preserve">Quantified and auto-corrected; no further action needed.</w:t>
            </w:r>
          </w:p>
        </w:tc>
      </w:tr>
      <w:tr>
        <w:tc>
          <w:tcPr>
            <w:tcW w:type="dxa" w:w="700"/>
            <w:tcBorders>
              <w:top w:val="single" w:color="B0B7C3" w:sz="1"/>
              <w:left w:val="single" w:color="B0B7C3" w:sz="1"/>
              <w:bottom w:val="single" w:color="B0B7C3" w:sz="1"/>
              <w:right w:val="single" w:color="B0B7C3" w:sz="1"/>
            </w:tcBorders>
            <w:shd w:fill="F8FAFC" w:val="clear"/>
            <w:tcMar>
              <w:top w:type="dxa" w:w="60"/>
              <w:left w:type="dxa" w:w="120"/>
              <w:bottom w:type="dxa" w:w="60"/>
              <w:right w:type="dxa" w:w="120"/>
            </w:tcMar>
            <w:vAlign w:val="center"/>
          </w:tcPr>
          <w:p>
            <w:r>
              <w:rPr>
                <w:b w:val="false"/>
                <w:bCs w:val="false"/>
                <w:sz w:val="19"/>
                <w:szCs w:val="19"/>
              </w:rPr>
              <w:t xml:space="preserve">F7</w:t>
            </w:r>
          </w:p>
        </w:tc>
        <w:tc>
          <w:tcPr>
            <w:tcW w:type="dxa" w:w="4700"/>
            <w:tcBorders>
              <w:top w:val="single" w:color="B0B7C3" w:sz="1"/>
              <w:left w:val="single" w:color="B0B7C3" w:sz="1"/>
              <w:bottom w:val="single" w:color="B0B7C3" w:sz="1"/>
              <w:right w:val="single" w:color="B0B7C3" w:sz="1"/>
            </w:tcBorders>
            <w:shd w:fill="F8FAFC" w:val="clear"/>
            <w:tcMar>
              <w:top w:type="dxa" w:w="60"/>
              <w:left w:type="dxa" w:w="120"/>
              <w:bottom w:type="dxa" w:w="60"/>
              <w:right w:type="dxa" w:w="120"/>
            </w:tcMar>
            <w:vAlign w:val="center"/>
          </w:tcPr>
          <w:p>
            <w:r>
              <w:rPr>
                <w:b w:val="false"/>
                <w:bCs w:val="false"/>
                <w:sz w:val="19"/>
                <w:szCs w:val="19"/>
              </w:rPr>
              <w:t xml:space="preserve">Engineering/environment failures (wrong Python env, disk-full cascade, CUDA OOM, multiprocessing hangs)</w:t>
            </w:r>
          </w:p>
        </w:tc>
        <w:tc>
          <w:tcPr>
            <w:tcW w:type="dxa" w:w="1200"/>
            <w:tcBorders>
              <w:top w:val="single" w:color="B0B7C3" w:sz="1"/>
              <w:left w:val="single" w:color="B0B7C3" w:sz="1"/>
              <w:bottom w:val="single" w:color="B0B7C3" w:sz="1"/>
              <w:right w:val="single" w:color="B0B7C3" w:sz="1"/>
            </w:tcBorders>
            <w:shd w:fill="F8FAFC" w:val="clear"/>
            <w:tcMar>
              <w:top w:type="dxa" w:w="60"/>
              <w:left w:type="dxa" w:w="120"/>
              <w:bottom w:type="dxa" w:w="60"/>
              <w:right w:type="dxa" w:w="120"/>
            </w:tcMar>
            <w:vAlign w:val="center"/>
          </w:tcPr>
          <w:p>
            <w:r>
              <w:rPr>
                <w:b w:val="false"/>
                <w:bCs w:val="false"/>
                <w:sz w:val="19"/>
                <w:szCs w:val="19"/>
              </w:rPr>
              <w:t xml:space="preserve">Medium</w:t>
            </w:r>
          </w:p>
        </w:tc>
        <w:tc>
          <w:tcPr>
            <w:tcW w:type="dxa" w:w="2760"/>
            <w:tcBorders>
              <w:top w:val="single" w:color="B0B7C3" w:sz="1"/>
              <w:left w:val="single" w:color="B0B7C3" w:sz="1"/>
              <w:bottom w:val="single" w:color="B0B7C3" w:sz="1"/>
              <w:right w:val="single" w:color="B0B7C3" w:sz="1"/>
            </w:tcBorders>
            <w:shd w:fill="F8FAFC" w:val="clear"/>
            <w:tcMar>
              <w:top w:type="dxa" w:w="60"/>
              <w:left w:type="dxa" w:w="120"/>
              <w:bottom w:type="dxa" w:w="60"/>
              <w:right w:type="dxa" w:w="120"/>
            </w:tcMar>
            <w:vAlign w:val="center"/>
          </w:tcPr>
          <w:p>
            <w:r>
              <w:rPr>
                <w:b w:val="false"/>
                <w:bCs w:val="false"/>
                <w:sz w:val="19"/>
                <w:szCs w:val="19"/>
              </w:rPr>
              <w:t xml:space="preserve">Root-caused; fixed procedures documented and enforced (Section 7.4).</w:t>
            </w:r>
          </w:p>
        </w:tc>
      </w:tr>
      <w:tr>
        <w:tc>
          <w:tcPr>
            <w:tcW w:type="dxa" w:w="700"/>
            <w:tcBorders>
              <w:top w:val="single" w:color="B0B7C3" w:sz="1"/>
              <w:left w:val="single" w:color="B0B7C3" w:sz="1"/>
              <w:bottom w:val="single" w:color="B0B7C3" w:sz="1"/>
              <w:right w:val="single" w:color="B0B7C3" w:sz="1"/>
            </w:tcBorders>
            <w:shd w:fill="FFFFFF" w:val="clear"/>
            <w:tcMar>
              <w:top w:type="dxa" w:w="60"/>
              <w:left w:type="dxa" w:w="120"/>
              <w:bottom w:type="dxa" w:w="60"/>
              <w:right w:type="dxa" w:w="120"/>
            </w:tcMar>
            <w:vAlign w:val="center"/>
          </w:tcPr>
          <w:p>
            <w:r>
              <w:rPr>
                <w:b w:val="false"/>
                <w:bCs w:val="false"/>
                <w:sz w:val="19"/>
                <w:szCs w:val="19"/>
              </w:rPr>
              <w:t xml:space="preserve">F8</w:t>
            </w:r>
          </w:p>
        </w:tc>
        <w:tc>
          <w:tcPr>
            <w:tcW w:type="dxa" w:w="4700"/>
            <w:tcBorders>
              <w:top w:val="single" w:color="B0B7C3" w:sz="1"/>
              <w:left w:val="single" w:color="B0B7C3" w:sz="1"/>
              <w:bottom w:val="single" w:color="B0B7C3" w:sz="1"/>
              <w:right w:val="single" w:color="B0B7C3" w:sz="1"/>
            </w:tcBorders>
            <w:shd w:fill="FFFFFF" w:val="clear"/>
            <w:tcMar>
              <w:top w:type="dxa" w:w="60"/>
              <w:left w:type="dxa" w:w="120"/>
              <w:bottom w:type="dxa" w:w="60"/>
              <w:right w:type="dxa" w:w="120"/>
            </w:tcMar>
            <w:vAlign w:val="center"/>
          </w:tcPr>
          <w:p>
            <w:r>
              <w:rPr>
                <w:b w:val="false"/>
                <w:bCs w:val="false"/>
                <w:sz w:val="19"/>
                <w:szCs w:val="19"/>
              </w:rPr>
              <w:t xml:space="preserve">Architecture swap YOLOv11 to YOLO26n</w:t>
            </w:r>
          </w:p>
        </w:tc>
        <w:tc>
          <w:tcPr>
            <w:tcW w:type="dxa" w:w="1200"/>
            <w:tcBorders>
              <w:top w:val="single" w:color="B0B7C3" w:sz="1"/>
              <w:left w:val="single" w:color="B0B7C3" w:sz="1"/>
              <w:bottom w:val="single" w:color="B0B7C3" w:sz="1"/>
              <w:right w:val="single" w:color="B0B7C3" w:sz="1"/>
            </w:tcBorders>
            <w:shd w:fill="FFFFFF" w:val="clear"/>
            <w:tcMar>
              <w:top w:type="dxa" w:w="60"/>
              <w:left w:type="dxa" w:w="120"/>
              <w:bottom w:type="dxa" w:w="60"/>
              <w:right w:type="dxa" w:w="120"/>
            </w:tcMar>
            <w:vAlign w:val="center"/>
          </w:tcPr>
          <w:p>
            <w:r>
              <w:rPr>
                <w:b w:val="false"/>
                <w:bCs w:val="false"/>
                <w:sz w:val="19"/>
                <w:szCs w:val="19"/>
              </w:rPr>
              <w:t xml:space="preserve">Info</w:t>
            </w:r>
          </w:p>
        </w:tc>
        <w:tc>
          <w:tcPr>
            <w:tcW w:type="dxa" w:w="2760"/>
            <w:tcBorders>
              <w:top w:val="single" w:color="B0B7C3" w:sz="1"/>
              <w:left w:val="single" w:color="B0B7C3" w:sz="1"/>
              <w:bottom w:val="single" w:color="B0B7C3" w:sz="1"/>
              <w:right w:val="single" w:color="B0B7C3" w:sz="1"/>
            </w:tcBorders>
            <w:shd w:fill="FFFFFF" w:val="clear"/>
            <w:tcMar>
              <w:top w:type="dxa" w:w="60"/>
              <w:left w:type="dxa" w:w="120"/>
              <w:bottom w:type="dxa" w:w="60"/>
              <w:right w:type="dxa" w:w="120"/>
            </w:tcMar>
            <w:vAlign w:val="center"/>
          </w:tcPr>
          <w:p>
            <w:r>
              <w:rPr>
                <w:b w:val="false"/>
                <w:bCs w:val="false"/>
                <w:sz w:val="19"/>
                <w:szCs w:val="19"/>
              </w:rPr>
              <w:t xml:space="preserve">Measured: marginal gain alone; convergence and data quality dominate (Section 8.3).</w:t>
            </w:r>
          </w:p>
        </w:tc>
      </w:tr>
      <w:tr>
        <w:tc>
          <w:tcPr>
            <w:tcW w:type="dxa" w:w="700"/>
            <w:tcBorders>
              <w:top w:val="single" w:color="B0B7C3" w:sz="1"/>
              <w:left w:val="single" w:color="B0B7C3" w:sz="1"/>
              <w:bottom w:val="single" w:color="B0B7C3" w:sz="1"/>
              <w:right w:val="single" w:color="B0B7C3" w:sz="1"/>
            </w:tcBorders>
            <w:shd w:fill="F8FAFC" w:val="clear"/>
            <w:tcMar>
              <w:top w:type="dxa" w:w="60"/>
              <w:left w:type="dxa" w:w="120"/>
              <w:bottom w:type="dxa" w:w="60"/>
              <w:right w:type="dxa" w:w="120"/>
            </w:tcMar>
            <w:vAlign w:val="center"/>
          </w:tcPr>
          <w:p>
            <w:r>
              <w:rPr>
                <w:b w:val="false"/>
                <w:bCs w:val="false"/>
                <w:sz w:val="19"/>
                <w:szCs w:val="19"/>
              </w:rPr>
              <w:t xml:space="preserve">F9</w:t>
            </w:r>
          </w:p>
        </w:tc>
        <w:tc>
          <w:tcPr>
            <w:tcW w:type="dxa" w:w="4700"/>
            <w:tcBorders>
              <w:top w:val="single" w:color="B0B7C3" w:sz="1"/>
              <w:left w:val="single" w:color="B0B7C3" w:sz="1"/>
              <w:bottom w:val="single" w:color="B0B7C3" w:sz="1"/>
              <w:right w:val="single" w:color="B0B7C3" w:sz="1"/>
            </w:tcBorders>
            <w:shd w:fill="F8FAFC" w:val="clear"/>
            <w:tcMar>
              <w:top w:type="dxa" w:w="60"/>
              <w:left w:type="dxa" w:w="120"/>
              <w:bottom w:type="dxa" w:w="60"/>
              <w:right w:type="dxa" w:w="120"/>
            </w:tcMar>
            <w:vAlign w:val="center"/>
          </w:tcPr>
          <w:p>
            <w:r>
              <w:rPr>
                <w:b w:val="false"/>
                <w:bCs w:val="false"/>
                <w:sz w:val="19"/>
                <w:szCs w:val="19"/>
              </w:rPr>
              <w:t xml:space="preserve">Serving resolution mismatch: 640-trained detector served at 960</w:t>
            </w:r>
          </w:p>
        </w:tc>
        <w:tc>
          <w:tcPr>
            <w:tcW w:type="dxa" w:w="1200"/>
            <w:tcBorders>
              <w:top w:val="single" w:color="B0B7C3" w:sz="1"/>
              <w:left w:val="single" w:color="B0B7C3" w:sz="1"/>
              <w:bottom w:val="single" w:color="B0B7C3" w:sz="1"/>
              <w:right w:val="single" w:color="B0B7C3" w:sz="1"/>
            </w:tcBorders>
            <w:shd w:fill="F8FAFC" w:val="clear"/>
            <w:tcMar>
              <w:top w:type="dxa" w:w="60"/>
              <w:left w:type="dxa" w:w="120"/>
              <w:bottom w:type="dxa" w:w="60"/>
              <w:right w:type="dxa" w:w="120"/>
            </w:tcMar>
            <w:vAlign w:val="center"/>
          </w:tcPr>
          <w:p>
            <w:r>
              <w:rPr>
                <w:b w:val="false"/>
                <w:bCs w:val="false"/>
                <w:sz w:val="19"/>
                <w:szCs w:val="19"/>
              </w:rPr>
              <w:t xml:space="preserve">Medium</w:t>
            </w:r>
          </w:p>
        </w:tc>
        <w:tc>
          <w:tcPr>
            <w:tcW w:type="dxa" w:w="2760"/>
            <w:tcBorders>
              <w:top w:val="single" w:color="B0B7C3" w:sz="1"/>
              <w:left w:val="single" w:color="B0B7C3" w:sz="1"/>
              <w:bottom w:val="single" w:color="B0B7C3" w:sz="1"/>
              <w:right w:val="single" w:color="B0B7C3" w:sz="1"/>
            </w:tcBorders>
            <w:shd w:fill="F8FAFC" w:val="clear"/>
            <w:tcMar>
              <w:top w:type="dxa" w:w="60"/>
              <w:left w:type="dxa" w:w="120"/>
              <w:bottom w:type="dxa" w:w="60"/>
              <w:right w:type="dxa" w:w="120"/>
            </w:tcMar>
            <w:vAlign w:val="center"/>
          </w:tcPr>
          <w:p>
            <w:r>
              <w:rPr>
                <w:b w:val="false"/>
                <w:bCs w:val="false"/>
                <w:sz w:val="19"/>
                <w:szCs w:val="19"/>
              </w:rPr>
              <w:t xml:space="preserve">Fixed: serving image size corrected to match training size; re-validated on two eval domains.</w:t>
            </w:r>
          </w:p>
        </w:tc>
      </w:tr>
      <w:tr>
        <w:tc>
          <w:tcPr>
            <w:tcW w:type="dxa" w:w="700"/>
            <w:tcBorders>
              <w:top w:val="single" w:color="B0B7C3" w:sz="1"/>
              <w:left w:val="single" w:color="B0B7C3" w:sz="1"/>
              <w:bottom w:val="single" w:color="B0B7C3" w:sz="1"/>
              <w:right w:val="single" w:color="B0B7C3" w:sz="1"/>
            </w:tcBorders>
            <w:shd w:fill="FFFFFF" w:val="clear"/>
            <w:tcMar>
              <w:top w:type="dxa" w:w="60"/>
              <w:left w:type="dxa" w:w="120"/>
              <w:bottom w:type="dxa" w:w="60"/>
              <w:right w:type="dxa" w:w="120"/>
            </w:tcMar>
            <w:vAlign w:val="center"/>
          </w:tcPr>
          <w:p>
            <w:r>
              <w:rPr>
                <w:b w:val="false"/>
                <w:bCs w:val="false"/>
                <w:sz w:val="19"/>
                <w:szCs w:val="19"/>
              </w:rPr>
              <w:t xml:space="preserve">F10</w:t>
            </w:r>
          </w:p>
        </w:tc>
        <w:tc>
          <w:tcPr>
            <w:tcW w:type="dxa" w:w="4700"/>
            <w:tcBorders>
              <w:top w:val="single" w:color="B0B7C3" w:sz="1"/>
              <w:left w:val="single" w:color="B0B7C3" w:sz="1"/>
              <w:bottom w:val="single" w:color="B0B7C3" w:sz="1"/>
              <w:right w:val="single" w:color="B0B7C3" w:sz="1"/>
            </w:tcBorders>
            <w:shd w:fill="FFFFFF" w:val="clear"/>
            <w:tcMar>
              <w:top w:type="dxa" w:w="60"/>
              <w:left w:type="dxa" w:w="120"/>
              <w:bottom w:type="dxa" w:w="60"/>
              <w:right w:type="dxa" w:w="120"/>
            </w:tcMar>
            <w:vAlign w:val="center"/>
          </w:tcPr>
          <w:p>
            <w:r>
              <w:rPr>
                <w:b w:val="false"/>
                <w:bCs w:val="false"/>
                <w:sz w:val="19"/>
                <w:szCs w:val="19"/>
              </w:rPr>
              <w:t xml:space="preserve">"Real-world" benchmark dataset found to be 74% leaked from training data</w:t>
            </w:r>
          </w:p>
        </w:tc>
        <w:tc>
          <w:tcPr>
            <w:tcW w:type="dxa" w:w="1200"/>
            <w:tcBorders>
              <w:top w:val="single" w:color="B0B7C3" w:sz="1"/>
              <w:left w:val="single" w:color="B0B7C3" w:sz="1"/>
              <w:bottom w:val="single" w:color="B0B7C3" w:sz="1"/>
              <w:right w:val="single" w:color="B0B7C3" w:sz="1"/>
            </w:tcBorders>
            <w:shd w:fill="FFFFFF" w:val="clear"/>
            <w:tcMar>
              <w:top w:type="dxa" w:w="60"/>
              <w:left w:type="dxa" w:w="120"/>
              <w:bottom w:type="dxa" w:w="60"/>
              <w:right w:type="dxa" w:w="120"/>
            </w:tcMar>
            <w:vAlign w:val="center"/>
          </w:tcPr>
          <w:p>
            <w:r>
              <w:rPr>
                <w:b w:val="false"/>
                <w:bCs w:val="false"/>
                <w:sz w:val="19"/>
                <w:szCs w:val="19"/>
              </w:rPr>
              <w:t xml:space="preserve">High</w:t>
            </w:r>
          </w:p>
        </w:tc>
        <w:tc>
          <w:tcPr>
            <w:tcW w:type="dxa" w:w="2760"/>
            <w:tcBorders>
              <w:top w:val="single" w:color="B0B7C3" w:sz="1"/>
              <w:left w:val="single" w:color="B0B7C3" w:sz="1"/>
              <w:bottom w:val="single" w:color="B0B7C3" w:sz="1"/>
              <w:right w:val="single" w:color="B0B7C3" w:sz="1"/>
            </w:tcBorders>
            <w:shd w:fill="FFFFFF" w:val="clear"/>
            <w:tcMar>
              <w:top w:type="dxa" w:w="60"/>
              <w:left w:type="dxa" w:w="120"/>
              <w:bottom w:type="dxa" w:w="60"/>
              <w:right w:type="dxa" w:w="120"/>
            </w:tcMar>
            <w:vAlign w:val="center"/>
          </w:tcPr>
          <w:p>
            <w:r>
              <w:rPr>
                <w:b w:val="false"/>
                <w:bCs w:val="false"/>
                <w:sz w:val="19"/>
                <w:szCs w:val="19"/>
              </w:rPr>
              <w:t xml:space="preserve">Retired from all accuracy claims; field work gated on a genuinely external, source-isolated dataset instead.</w:t>
            </w:r>
          </w:p>
        </w:tc>
      </w:tr>
      <w:tr>
        <w:tc>
          <w:tcPr>
            <w:tcW w:type="dxa" w:w="700"/>
            <w:tcBorders>
              <w:top w:val="single" w:color="B0B7C3" w:sz="1"/>
              <w:left w:val="single" w:color="B0B7C3" w:sz="1"/>
              <w:bottom w:val="single" w:color="B0B7C3" w:sz="1"/>
              <w:right w:val="single" w:color="B0B7C3" w:sz="1"/>
            </w:tcBorders>
            <w:shd w:fill="F8FAFC" w:val="clear"/>
            <w:tcMar>
              <w:top w:type="dxa" w:w="60"/>
              <w:left w:type="dxa" w:w="120"/>
              <w:bottom w:type="dxa" w:w="60"/>
              <w:right w:type="dxa" w:w="120"/>
            </w:tcMar>
            <w:vAlign w:val="center"/>
          </w:tcPr>
          <w:p>
            <w:r>
              <w:rPr>
                <w:b w:val="false"/>
                <w:bCs w:val="false"/>
                <w:sz w:val="19"/>
                <w:szCs w:val="19"/>
              </w:rPr>
              <w:t xml:space="preserve">F11</w:t>
            </w:r>
          </w:p>
        </w:tc>
        <w:tc>
          <w:tcPr>
            <w:tcW w:type="dxa" w:w="4700"/>
            <w:tcBorders>
              <w:top w:val="single" w:color="B0B7C3" w:sz="1"/>
              <w:left w:val="single" w:color="B0B7C3" w:sz="1"/>
              <w:bottom w:val="single" w:color="B0B7C3" w:sz="1"/>
              <w:right w:val="single" w:color="B0B7C3" w:sz="1"/>
            </w:tcBorders>
            <w:shd w:fill="F8FAFC" w:val="clear"/>
            <w:tcMar>
              <w:top w:type="dxa" w:w="60"/>
              <w:left w:type="dxa" w:w="120"/>
              <w:bottom w:type="dxa" w:w="60"/>
              <w:right w:type="dxa" w:w="120"/>
            </w:tcMar>
            <w:vAlign w:val="center"/>
          </w:tcPr>
          <w:p>
            <w:r>
              <w:rPr>
                <w:b w:val="false"/>
                <w:bCs w:val="false"/>
                <w:sz w:val="19"/>
                <w:szCs w:val="19"/>
              </w:rPr>
              <w:t xml:space="preserve">Field-rebalance fine-tune (oversampling existing field data)</w:t>
            </w:r>
          </w:p>
        </w:tc>
        <w:tc>
          <w:tcPr>
            <w:tcW w:type="dxa" w:w="1200"/>
            <w:tcBorders>
              <w:top w:val="single" w:color="B0B7C3" w:sz="1"/>
              <w:left w:val="single" w:color="B0B7C3" w:sz="1"/>
              <w:bottom w:val="single" w:color="B0B7C3" w:sz="1"/>
              <w:right w:val="single" w:color="B0B7C3" w:sz="1"/>
            </w:tcBorders>
            <w:shd w:fill="F8FAFC" w:val="clear"/>
            <w:tcMar>
              <w:top w:type="dxa" w:w="60"/>
              <w:left w:type="dxa" w:w="120"/>
              <w:bottom w:type="dxa" w:w="60"/>
              <w:right w:type="dxa" w:w="120"/>
            </w:tcMar>
            <w:vAlign w:val="center"/>
          </w:tcPr>
          <w:p>
            <w:r>
              <w:rPr>
                <w:b w:val="false"/>
                <w:bCs w:val="false"/>
                <w:sz w:val="19"/>
                <w:szCs w:val="19"/>
              </w:rPr>
              <w:t xml:space="preserve">Info</w:t>
            </w:r>
          </w:p>
        </w:tc>
        <w:tc>
          <w:tcPr>
            <w:tcW w:type="dxa" w:w="2760"/>
            <w:tcBorders>
              <w:top w:val="single" w:color="B0B7C3" w:sz="1"/>
              <w:left w:val="single" w:color="B0B7C3" w:sz="1"/>
              <w:bottom w:val="single" w:color="B0B7C3" w:sz="1"/>
              <w:right w:val="single" w:color="B0B7C3" w:sz="1"/>
            </w:tcBorders>
            <w:shd w:fill="F8FAFC" w:val="clear"/>
            <w:tcMar>
              <w:top w:type="dxa" w:w="60"/>
              <w:left w:type="dxa" w:w="120"/>
              <w:bottom w:type="dxa" w:w="60"/>
              <w:right w:type="dxa" w:w="120"/>
            </w:tcMar>
            <w:vAlign w:val="center"/>
          </w:tcPr>
          <w:p>
            <w:r>
              <w:rPr>
                <w:b w:val="false"/>
                <w:bCs w:val="false"/>
                <w:sz w:val="19"/>
                <w:szCs w:val="19"/>
              </w:rPr>
              <w:t xml:space="preserve">Rejected: gain within noise (+1.3pp), studio regression (-2.3pp); established honest field baseline (recall 0.505).</w:t>
            </w:r>
          </w:p>
        </w:tc>
      </w:tr>
      <w:tr>
        <w:tc>
          <w:tcPr>
            <w:tcW w:type="dxa" w:w="700"/>
            <w:tcBorders>
              <w:top w:val="single" w:color="B0B7C3" w:sz="1"/>
              <w:left w:val="single" w:color="B0B7C3" w:sz="1"/>
              <w:bottom w:val="single" w:color="B0B7C3" w:sz="1"/>
              <w:right w:val="single" w:color="B0B7C3" w:sz="1"/>
            </w:tcBorders>
            <w:shd w:fill="FFFFFF" w:val="clear"/>
            <w:tcMar>
              <w:top w:type="dxa" w:w="60"/>
              <w:left w:type="dxa" w:w="120"/>
              <w:bottom w:type="dxa" w:w="60"/>
              <w:right w:type="dxa" w:w="120"/>
            </w:tcMar>
            <w:vAlign w:val="center"/>
          </w:tcPr>
          <w:p>
            <w:r>
              <w:rPr>
                <w:b w:val="false"/>
                <w:bCs w:val="false"/>
                <w:sz w:val="19"/>
                <w:szCs w:val="19"/>
              </w:rPr>
              <w:t xml:space="preserve">F12</w:t>
            </w:r>
          </w:p>
        </w:tc>
        <w:tc>
          <w:tcPr>
            <w:tcW w:type="dxa" w:w="4700"/>
            <w:tcBorders>
              <w:top w:val="single" w:color="B0B7C3" w:sz="1"/>
              <w:left w:val="single" w:color="B0B7C3" w:sz="1"/>
              <w:bottom w:val="single" w:color="B0B7C3" w:sz="1"/>
              <w:right w:val="single" w:color="B0B7C3" w:sz="1"/>
            </w:tcBorders>
            <w:shd w:fill="FFFFFF" w:val="clear"/>
            <w:tcMar>
              <w:top w:type="dxa" w:w="60"/>
              <w:left w:type="dxa" w:w="120"/>
              <w:bottom w:type="dxa" w:w="60"/>
              <w:right w:type="dxa" w:w="120"/>
            </w:tcMar>
            <w:vAlign w:val="center"/>
          </w:tcPr>
          <w:p>
            <w:r>
              <w:rPr>
                <w:b w:val="false"/>
                <w:bCs w:val="false"/>
                <w:sz w:val="19"/>
                <w:szCs w:val="19"/>
              </w:rPr>
              <w:t xml:space="preserve">Class-agnostic detector head + new field data (PlastOPol)</w:t>
            </w:r>
          </w:p>
        </w:tc>
        <w:tc>
          <w:tcPr>
            <w:tcW w:type="dxa" w:w="1200"/>
            <w:tcBorders>
              <w:top w:val="single" w:color="B0B7C3" w:sz="1"/>
              <w:left w:val="single" w:color="B0B7C3" w:sz="1"/>
              <w:bottom w:val="single" w:color="B0B7C3" w:sz="1"/>
              <w:right w:val="single" w:color="B0B7C3" w:sz="1"/>
            </w:tcBorders>
            <w:shd w:fill="FFFFFF" w:val="clear"/>
            <w:tcMar>
              <w:top w:type="dxa" w:w="60"/>
              <w:left w:type="dxa" w:w="120"/>
              <w:bottom w:type="dxa" w:w="60"/>
              <w:right w:type="dxa" w:w="120"/>
            </w:tcMar>
            <w:vAlign w:val="center"/>
          </w:tcPr>
          <w:p>
            <w:r>
              <w:rPr>
                <w:b w:val="false"/>
                <w:bCs w:val="false"/>
                <w:sz w:val="19"/>
                <w:szCs w:val="19"/>
              </w:rPr>
              <w:t xml:space="preserve">Info</w:t>
            </w:r>
          </w:p>
        </w:tc>
        <w:tc>
          <w:tcPr>
            <w:tcW w:type="dxa" w:w="2760"/>
            <w:tcBorders>
              <w:top w:val="single" w:color="B0B7C3" w:sz="1"/>
              <w:left w:val="single" w:color="B0B7C3" w:sz="1"/>
              <w:bottom w:val="single" w:color="B0B7C3" w:sz="1"/>
              <w:right w:val="single" w:color="B0B7C3" w:sz="1"/>
            </w:tcBorders>
            <w:shd w:fill="FFFFFF" w:val="clear"/>
            <w:tcMar>
              <w:top w:type="dxa" w:w="60"/>
              <w:left w:type="dxa" w:w="120"/>
              <w:bottom w:type="dxa" w:w="60"/>
              <w:right w:type="dxa" w:w="120"/>
            </w:tcMar>
            <w:vAlign w:val="center"/>
          </w:tcPr>
          <w:p>
            <w:r>
              <w:rPr>
                <w:b w:val="false"/>
                <w:bCs w:val="false"/>
                <w:sz w:val="19"/>
                <w:szCs w:val="19"/>
              </w:rPr>
              <w:t xml:space="preserve">Initially promoted, then reverted (see F13) after an unfair operating-point comparison was found.</w:t>
            </w:r>
          </w:p>
        </w:tc>
      </w:tr>
      <w:tr>
        <w:tc>
          <w:tcPr>
            <w:tcW w:type="dxa" w:w="700"/>
            <w:tcBorders>
              <w:top w:val="single" w:color="B0B7C3" w:sz="1"/>
              <w:left w:val="single" w:color="B0B7C3" w:sz="1"/>
              <w:bottom w:val="single" w:color="B0B7C3" w:sz="1"/>
              <w:right w:val="single" w:color="B0B7C3" w:sz="1"/>
            </w:tcBorders>
            <w:shd w:fill="F8FAFC" w:val="clear"/>
            <w:tcMar>
              <w:top w:type="dxa" w:w="60"/>
              <w:left w:type="dxa" w:w="120"/>
              <w:bottom w:type="dxa" w:w="60"/>
              <w:right w:type="dxa" w:w="120"/>
            </w:tcMar>
            <w:vAlign w:val="center"/>
          </w:tcPr>
          <w:p>
            <w:r>
              <w:rPr>
                <w:b w:val="false"/>
                <w:bCs w:val="false"/>
                <w:sz w:val="19"/>
                <w:szCs w:val="19"/>
              </w:rPr>
              <w:t xml:space="preserve">F13</w:t>
            </w:r>
          </w:p>
        </w:tc>
        <w:tc>
          <w:tcPr>
            <w:tcW w:type="dxa" w:w="4700"/>
            <w:tcBorders>
              <w:top w:val="single" w:color="B0B7C3" w:sz="1"/>
              <w:left w:val="single" w:color="B0B7C3" w:sz="1"/>
              <w:bottom w:val="single" w:color="B0B7C3" w:sz="1"/>
              <w:right w:val="single" w:color="B0B7C3" w:sz="1"/>
            </w:tcBorders>
            <w:shd w:fill="F8FAFC" w:val="clear"/>
            <w:tcMar>
              <w:top w:type="dxa" w:w="60"/>
              <w:left w:type="dxa" w:w="120"/>
              <w:bottom w:type="dxa" w:w="60"/>
              <w:right w:type="dxa" w:w="120"/>
            </w:tcMar>
            <w:vAlign w:val="center"/>
          </w:tcPr>
          <w:p>
            <w:r>
              <w:rPr>
                <w:b w:val="false"/>
                <w:bCs w:val="false"/>
                <w:sz w:val="19"/>
                <w:szCs w:val="19"/>
              </w:rPr>
              <w:t xml:space="preserve">Detector confidence lever re-examined at matched operating points</w:t>
            </w:r>
          </w:p>
        </w:tc>
        <w:tc>
          <w:tcPr>
            <w:tcW w:type="dxa" w:w="1200"/>
            <w:tcBorders>
              <w:top w:val="single" w:color="B0B7C3" w:sz="1"/>
              <w:left w:val="single" w:color="B0B7C3" w:sz="1"/>
              <w:bottom w:val="single" w:color="B0B7C3" w:sz="1"/>
              <w:right w:val="single" w:color="B0B7C3" w:sz="1"/>
            </w:tcBorders>
            <w:shd w:fill="F8FAFC" w:val="clear"/>
            <w:tcMar>
              <w:top w:type="dxa" w:w="60"/>
              <w:left w:type="dxa" w:w="120"/>
              <w:bottom w:type="dxa" w:w="60"/>
              <w:right w:type="dxa" w:w="120"/>
            </w:tcMar>
            <w:vAlign w:val="center"/>
          </w:tcPr>
          <w:p>
            <w:r>
              <w:rPr>
                <w:b w:val="false"/>
                <w:bCs w:val="false"/>
                <w:sz w:val="19"/>
                <w:szCs w:val="19"/>
              </w:rPr>
              <w:t xml:space="preserve">High</w:t>
            </w:r>
          </w:p>
        </w:tc>
        <w:tc>
          <w:tcPr>
            <w:tcW w:type="dxa" w:w="2760"/>
            <w:tcBorders>
              <w:top w:val="single" w:color="B0B7C3" w:sz="1"/>
              <w:left w:val="single" w:color="B0B7C3" w:sz="1"/>
              <w:bottom w:val="single" w:color="B0B7C3" w:sz="1"/>
              <w:right w:val="single" w:color="B0B7C3" w:sz="1"/>
            </w:tcBorders>
            <w:shd w:fill="F8FAFC" w:val="clear"/>
            <w:tcMar>
              <w:top w:type="dxa" w:w="60"/>
              <w:left w:type="dxa" w:w="120"/>
              <w:bottom w:type="dxa" w:w="60"/>
              <w:right w:type="dxa" w:w="120"/>
            </w:tcMar>
            <w:vAlign w:val="center"/>
          </w:tcPr>
          <w:p>
            <w:r>
              <w:rPr>
                <w:b w:val="false"/>
                <w:bCs w:val="false"/>
                <w:sz w:val="19"/>
                <w:szCs w:val="19"/>
              </w:rPr>
              <w:t xml:space="preserve">Deployed: conf 0.10 to 0.04 lifts field recall +8.1pp and studio recall +5.3pp with no architecture change; F12 promotion reverted.</w:t>
            </w:r>
          </w:p>
        </w:tc>
      </w:tr>
      <w:tr>
        <w:tc>
          <w:tcPr>
            <w:tcW w:type="dxa" w:w="700"/>
            <w:tcBorders>
              <w:top w:val="single" w:color="B0B7C3" w:sz="1"/>
              <w:left w:val="single" w:color="B0B7C3" w:sz="1"/>
              <w:bottom w:val="single" w:color="B0B7C3" w:sz="1"/>
              <w:right w:val="single" w:color="B0B7C3" w:sz="1"/>
            </w:tcBorders>
            <w:shd w:fill="FFFFFF" w:val="clear"/>
            <w:tcMar>
              <w:top w:type="dxa" w:w="60"/>
              <w:left w:type="dxa" w:w="120"/>
              <w:bottom w:type="dxa" w:w="60"/>
              <w:right w:type="dxa" w:w="120"/>
            </w:tcMar>
            <w:vAlign w:val="center"/>
          </w:tcPr>
          <w:p>
            <w:r>
              <w:rPr>
                <w:b w:val="false"/>
                <w:bCs w:val="false"/>
                <w:sz w:val="19"/>
                <w:szCs w:val="19"/>
              </w:rPr>
              <w:t xml:space="preserve">F14</w:t>
            </w:r>
          </w:p>
        </w:tc>
        <w:tc>
          <w:tcPr>
            <w:tcW w:type="dxa" w:w="4700"/>
            <w:tcBorders>
              <w:top w:val="single" w:color="B0B7C3" w:sz="1"/>
              <w:left w:val="single" w:color="B0B7C3" w:sz="1"/>
              <w:bottom w:val="single" w:color="B0B7C3" w:sz="1"/>
              <w:right w:val="single" w:color="B0B7C3" w:sz="1"/>
            </w:tcBorders>
            <w:shd w:fill="FFFFFF" w:val="clear"/>
            <w:tcMar>
              <w:top w:type="dxa" w:w="60"/>
              <w:left w:type="dxa" w:w="120"/>
              <w:bottom w:type="dxa" w:w="60"/>
              <w:right w:type="dxa" w:w="120"/>
            </w:tcMar>
            <w:vAlign w:val="center"/>
          </w:tcPr>
          <w:p>
            <w:r>
              <w:rPr>
                <w:b w:val="false"/>
                <w:bCs w:val="false"/>
                <w:sz w:val="19"/>
                <w:szCs w:val="19"/>
              </w:rPr>
              <w:t xml:space="preserve">Glass misclassified as plastic in the field: detector's material vote overrode a confident classifier</w:t>
            </w:r>
          </w:p>
        </w:tc>
        <w:tc>
          <w:tcPr>
            <w:tcW w:type="dxa" w:w="1200"/>
            <w:tcBorders>
              <w:top w:val="single" w:color="B0B7C3" w:sz="1"/>
              <w:left w:val="single" w:color="B0B7C3" w:sz="1"/>
              <w:bottom w:val="single" w:color="B0B7C3" w:sz="1"/>
              <w:right w:val="single" w:color="B0B7C3" w:sz="1"/>
            </w:tcBorders>
            <w:shd w:fill="FFFFFF" w:val="clear"/>
            <w:tcMar>
              <w:top w:type="dxa" w:w="60"/>
              <w:left w:type="dxa" w:w="120"/>
              <w:bottom w:type="dxa" w:w="60"/>
              <w:right w:type="dxa" w:w="120"/>
            </w:tcMar>
            <w:vAlign w:val="center"/>
          </w:tcPr>
          <w:p>
            <w:r>
              <w:rPr>
                <w:b w:val="false"/>
                <w:bCs w:val="false"/>
                <w:sz w:val="19"/>
                <w:szCs w:val="19"/>
              </w:rPr>
              <w:t xml:space="preserve">High</w:t>
            </w:r>
          </w:p>
        </w:tc>
        <w:tc>
          <w:tcPr>
            <w:tcW w:type="dxa" w:w="2760"/>
            <w:tcBorders>
              <w:top w:val="single" w:color="B0B7C3" w:sz="1"/>
              <w:left w:val="single" w:color="B0B7C3" w:sz="1"/>
              <w:bottom w:val="single" w:color="B0B7C3" w:sz="1"/>
              <w:right w:val="single" w:color="B0B7C3" w:sz="1"/>
            </w:tcBorders>
            <w:shd w:fill="FFFFFF" w:val="clear"/>
            <w:tcMar>
              <w:top w:type="dxa" w:w="60"/>
              <w:left w:type="dxa" w:w="120"/>
              <w:bottom w:type="dxa" w:w="60"/>
              <w:right w:type="dxa" w:w="120"/>
            </w:tcMar>
            <w:vAlign w:val="center"/>
          </w:tcPr>
          <w:p>
            <w:r>
              <w:rPr>
                <w:b w:val="false"/>
                <w:bCs w:val="false"/>
                <w:sz w:val="19"/>
                <w:szCs w:val="19"/>
              </w:rPr>
              <w:t xml:space="preserve">Fixed: fusion alpha cap lowered from 0.70 to 0.40; small studio cost (-0.7pp macro-F1), fixes the field failure mode.</w:t>
            </w:r>
          </w:p>
        </w:tc>
      </w:tr>
      <w:tr>
        <w:tc>
          <w:tcPr>
            <w:tcW w:type="dxa" w:w="700"/>
            <w:tcBorders>
              <w:top w:val="single" w:color="B0B7C3" w:sz="1"/>
              <w:left w:val="single" w:color="B0B7C3" w:sz="1"/>
              <w:bottom w:val="single" w:color="B0B7C3" w:sz="1"/>
              <w:right w:val="single" w:color="B0B7C3" w:sz="1"/>
            </w:tcBorders>
            <w:shd w:fill="F8FAFC" w:val="clear"/>
            <w:tcMar>
              <w:top w:type="dxa" w:w="60"/>
              <w:left w:type="dxa" w:w="120"/>
              <w:bottom w:type="dxa" w:w="60"/>
              <w:right w:type="dxa" w:w="120"/>
            </w:tcMar>
            <w:vAlign w:val="center"/>
          </w:tcPr>
          <w:p>
            <w:r>
              <w:rPr>
                <w:b w:val="false"/>
                <w:bCs w:val="false"/>
                <w:sz w:val="19"/>
                <w:szCs w:val="19"/>
              </w:rPr>
              <w:t xml:space="preserve">F15</w:t>
            </w:r>
          </w:p>
        </w:tc>
        <w:tc>
          <w:tcPr>
            <w:tcW w:type="dxa" w:w="4700"/>
            <w:tcBorders>
              <w:top w:val="single" w:color="B0B7C3" w:sz="1"/>
              <w:left w:val="single" w:color="B0B7C3" w:sz="1"/>
              <w:bottom w:val="single" w:color="B0B7C3" w:sz="1"/>
              <w:right w:val="single" w:color="B0B7C3" w:sz="1"/>
            </w:tcBorders>
            <w:shd w:fill="F8FAFC" w:val="clear"/>
            <w:tcMar>
              <w:top w:type="dxa" w:w="60"/>
              <w:left w:type="dxa" w:w="120"/>
              <w:bottom w:type="dxa" w:w="60"/>
              <w:right w:type="dxa" w:w="120"/>
            </w:tcMar>
            <w:vAlign w:val="center"/>
          </w:tcPr>
          <w:p>
            <w:r>
              <w:rPr>
                <w:b w:val="false"/>
                <w:bCs w:val="false"/>
                <w:sz w:val="19"/>
                <w:szCs w:val="19"/>
              </w:rPr>
              <w:t xml:space="preserve">Field small-object recall still low (~0.43)</w:t>
            </w:r>
          </w:p>
        </w:tc>
        <w:tc>
          <w:tcPr>
            <w:tcW w:type="dxa" w:w="1200"/>
            <w:tcBorders>
              <w:top w:val="single" w:color="B0B7C3" w:sz="1"/>
              <w:left w:val="single" w:color="B0B7C3" w:sz="1"/>
              <w:bottom w:val="single" w:color="B0B7C3" w:sz="1"/>
              <w:right w:val="single" w:color="B0B7C3" w:sz="1"/>
            </w:tcBorders>
            <w:shd w:fill="F8FAFC" w:val="clear"/>
            <w:tcMar>
              <w:top w:type="dxa" w:w="60"/>
              <w:left w:type="dxa" w:w="120"/>
              <w:bottom w:type="dxa" w:w="60"/>
              <w:right w:type="dxa" w:w="120"/>
            </w:tcMar>
            <w:vAlign w:val="center"/>
          </w:tcPr>
          <w:p>
            <w:r>
              <w:rPr>
                <w:b w:val="false"/>
                <w:bCs w:val="false"/>
                <w:sz w:val="19"/>
                <w:szCs w:val="19"/>
              </w:rPr>
              <w:t xml:space="preserve">High</w:t>
            </w:r>
          </w:p>
        </w:tc>
        <w:tc>
          <w:tcPr>
            <w:tcW w:type="dxa" w:w="2760"/>
            <w:tcBorders>
              <w:top w:val="single" w:color="B0B7C3" w:sz="1"/>
              <w:left w:val="single" w:color="B0B7C3" w:sz="1"/>
              <w:bottom w:val="single" w:color="B0B7C3" w:sz="1"/>
              <w:right w:val="single" w:color="B0B7C3" w:sz="1"/>
            </w:tcBorders>
            <w:shd w:fill="F8FAFC" w:val="clear"/>
            <w:tcMar>
              <w:top w:type="dxa" w:w="60"/>
              <w:left w:type="dxa" w:w="120"/>
              <w:bottom w:type="dxa" w:w="60"/>
              <w:right w:type="dxa" w:w="120"/>
            </w:tcMar>
            <w:vAlign w:val="center"/>
          </w:tcPr>
          <w:p>
            <w:r>
              <w:rPr>
                <w:b w:val="false"/>
                <w:bCs w:val="false"/>
                <w:sz w:val="19"/>
                <w:szCs w:val="19"/>
              </w:rPr>
              <w:t xml:space="preserve">Promoted: hard-negative mining fine-tune using new PlastOPol data; +17.3pp recall on held-out field data, studio preserved.</w:t>
            </w:r>
          </w:p>
        </w:tc>
      </w:tr>
      <w:tr>
        <w:tc>
          <w:tcPr>
            <w:tcW w:type="dxa" w:w="700"/>
            <w:tcBorders>
              <w:top w:val="single" w:color="B0B7C3" w:sz="1"/>
              <w:left w:val="single" w:color="B0B7C3" w:sz="1"/>
              <w:bottom w:val="single" w:color="B0B7C3" w:sz="1"/>
              <w:right w:val="single" w:color="B0B7C3" w:sz="1"/>
            </w:tcBorders>
            <w:shd w:fill="FFFFFF" w:val="clear"/>
            <w:tcMar>
              <w:top w:type="dxa" w:w="60"/>
              <w:left w:type="dxa" w:w="120"/>
              <w:bottom w:type="dxa" w:w="60"/>
              <w:right w:type="dxa" w:w="120"/>
            </w:tcMar>
            <w:vAlign w:val="center"/>
          </w:tcPr>
          <w:p>
            <w:r>
              <w:rPr>
                <w:b w:val="false"/>
                <w:bCs w:val="false"/>
                <w:sz w:val="19"/>
                <w:szCs w:val="19"/>
              </w:rPr>
              <w:t xml:space="preserve">F16</w:t>
            </w:r>
          </w:p>
        </w:tc>
        <w:tc>
          <w:tcPr>
            <w:tcW w:type="dxa" w:w="4700"/>
            <w:tcBorders>
              <w:top w:val="single" w:color="B0B7C3" w:sz="1"/>
              <w:left w:val="single" w:color="B0B7C3" w:sz="1"/>
              <w:bottom w:val="single" w:color="B0B7C3" w:sz="1"/>
              <w:right w:val="single" w:color="B0B7C3" w:sz="1"/>
            </w:tcBorders>
            <w:shd w:fill="FFFFFF" w:val="clear"/>
            <w:tcMar>
              <w:top w:type="dxa" w:w="60"/>
              <w:left w:type="dxa" w:w="120"/>
              <w:bottom w:type="dxa" w:w="60"/>
              <w:right w:type="dxa" w:w="120"/>
            </w:tcMar>
            <w:vAlign w:val="center"/>
          </w:tcPr>
          <w:p>
            <w:r>
              <w:rPr>
                <w:b w:val="false"/>
                <w:bCs w:val="false"/>
                <w:sz w:val="19"/>
                <w:szCs w:val="19"/>
              </w:rPr>
              <w:t xml:space="preserve">Waste-state gate loosening tested to reduce over-cautious 'review' labels</w:t>
            </w:r>
          </w:p>
        </w:tc>
        <w:tc>
          <w:tcPr>
            <w:tcW w:type="dxa" w:w="1200"/>
            <w:tcBorders>
              <w:top w:val="single" w:color="B0B7C3" w:sz="1"/>
              <w:left w:val="single" w:color="B0B7C3" w:sz="1"/>
              <w:bottom w:val="single" w:color="B0B7C3" w:sz="1"/>
              <w:right w:val="single" w:color="B0B7C3" w:sz="1"/>
            </w:tcBorders>
            <w:shd w:fill="FFFFFF" w:val="clear"/>
            <w:tcMar>
              <w:top w:type="dxa" w:w="60"/>
              <w:left w:type="dxa" w:w="120"/>
              <w:bottom w:type="dxa" w:w="60"/>
              <w:right w:type="dxa" w:w="120"/>
            </w:tcMar>
            <w:vAlign w:val="center"/>
          </w:tcPr>
          <w:p>
            <w:r>
              <w:rPr>
                <w:b w:val="false"/>
                <w:bCs w:val="false"/>
                <w:sz w:val="19"/>
                <w:szCs w:val="19"/>
              </w:rPr>
              <w:t xml:space="preserve">Info</w:t>
            </w:r>
          </w:p>
        </w:tc>
        <w:tc>
          <w:tcPr>
            <w:tcW w:type="dxa" w:w="2760"/>
            <w:tcBorders>
              <w:top w:val="single" w:color="B0B7C3" w:sz="1"/>
              <w:left w:val="single" w:color="B0B7C3" w:sz="1"/>
              <w:bottom w:val="single" w:color="B0B7C3" w:sz="1"/>
              <w:right w:val="single" w:color="B0B7C3" w:sz="1"/>
            </w:tcBorders>
            <w:shd w:fill="FFFFFF" w:val="clear"/>
            <w:tcMar>
              <w:top w:type="dxa" w:w="60"/>
              <w:left w:type="dxa" w:w="120"/>
              <w:bottom w:type="dxa" w:w="60"/>
              <w:right w:type="dxa" w:w="120"/>
            </w:tcMar>
            <w:vAlign w:val="center"/>
          </w:tcPr>
          <w:p>
            <w:r>
              <w:rPr>
                <w:b w:val="false"/>
                <w:bCs w:val="false"/>
                <w:sz w:val="19"/>
                <w:szCs w:val="19"/>
              </w:rPr>
              <w:t xml:space="preserve">Rejected, reverted: looked good on a 6-image demo but cost ~15pp precision on a 270-image two-domain check.</w:t>
            </w:r>
          </w:p>
        </w:tc>
      </w:tr>
    </w:tbl>
    <w:p>
      <w:pPr>
        <w:spacing w:after="200"/>
      </w:pPr>
    </w:p>
    <w:p>
      <w:pPr>
        <w:pStyle w:val="Heading2"/>
      </w:pPr>
      <w:r>
        <w:t xml:space="preserve">9.2 Selected Failures in Detail</w:t>
      </w:r>
    </w:p>
    <w:p>
      <w:pPr>
        <w:pStyle w:val="Heading3"/>
      </w:pPr>
      <w:r>
        <w:t xml:space="preserve">9.2.1 F1 - Evaluation Data Leakage (Critical)</w:t>
      </w:r>
    </w:p>
    <w:p>
      <w:pPr>
        <w:spacing w:after="160"/>
        <w:jc w:val="both"/>
      </w:pPr>
      <w:r>
        <w:rPr>
          <w:b w:val="false"/>
          <w:bCs w:val="false"/>
          <w:i w:val="false"/>
          <w:iCs w:val="false"/>
        </w:rPr>
        <w:t xml:space="preserve">No visible symptom prompted this investigation; all metrics looked acceptable. It was found by a systematic, self-initiated risk audit, not by an external reviewer. Root cause: several raw sources are re-exports of the same TACO photographs through different Roboflow pipelines, which re-encode and resize images, defeating byte-level (MD5) deduplication while leaving the visual content unchanged; the same photograph could therefore land in a training split under one filename and a test split under another. Measured impact ranged from 16-30% for detector splits up to 43% for one classifier test split. Fix: scripts/build_clean_eval_splits.py quarantines every leaked evaluation image into dedicated clean splits, and every metric in this report is measured on those clean splits. This is discussed at length in Section 6.4 because it is the project's strongest piece of methodological evidence: a self-found and self-corrected measurement bug.</w:t>
      </w:r>
    </w:p>
    <w:p>
      <w:pPr>
        <w:pStyle w:val="Heading3"/>
      </w:pPr>
      <w:r>
        <w:t xml:space="preserve">9.2.2 F4 / F4b - Tiny Objects and Train/Serve Skew (High)</w:t>
      </w:r>
    </w:p>
    <w:p>
      <w:pPr>
        <w:spacing w:after="160"/>
        <w:jc w:val="both"/>
      </w:pPr>
      <w:r>
        <w:rPr>
          <w:b w:val="false"/>
          <w:bCs w:val="false"/>
          <w:i w:val="false"/>
          <w:iCs w:val="false"/>
        </w:rPr>
        <w:t xml:space="preserve">Detector recall (0.59) was initially assumed to reflect weak classification, but the confusion matrix showed cross-class errors at or below 11%; the real failure mode was objects predicted as background. Miss rate tracked box size, not class frequency: organic litter is the largest class by box count yet the worst detected, because its median object covers roughly 1.4% of the image. A longer, cosine-scheduled retrain fixed an under-converged 30-epoch baseline; a 960px fine-tune and sliced (SAHI-style) inference were both tested and both rejected after honest measurement (a wash on validation, small and inconsistent gains on test, with a precision cost for slicing). Separately, the deployed classifier scored 92.93% on clean ground-truth crops but only 76.91% on the detector's own predicted crops - the actual input distribution in production - a 16-point gap invisible in any GT-only benchmark. Fine-tuning on a mixed GT-plus-detector-crop dataset closed most of this gap (88.88% on detector crops) while further improving clean accuracy (93.77%).</w:t>
      </w:r>
    </w:p>
    <w:p>
      <w:pPr>
        <w:pStyle w:val="Heading3"/>
      </w:pPr>
      <w:r>
        <w:t xml:space="preserve">9.2.3 F10 - A "Real-World" Benchmark That Was Not Real-World (High)</w:t>
      </w:r>
    </w:p>
    <w:p>
      <w:pPr>
        <w:spacing w:after="160"/>
        <w:jc w:val="both"/>
      </w:pPr>
      <w:r>
        <w:rPr>
          <w:b w:val="false"/>
          <w:bCs w:val="false"/>
          <w:i w:val="false"/>
          <w:iCs w:val="false"/>
        </w:rPr>
        <w:t xml:space="preserve">A dataset informally named and treated as a real-world false-positive benchmark was investigated before committing to a field-data fine-tuning plan built on it. It turned out to be constructed by rebalancing and hash-renaming the deployed detector's own studio-heavy training data: 74% of its test images were byte-identical to that training data, and zero were genuine TACO field images. It was retired from every accuracy claim, and a genuinely external, source-isolated field evaluation set was built from official TACO annotations instead (Section 6). The lesson recorded for the project was explicit: a dataset's name is not evidence of its provenance, and any "real-world" or "balanced" derived set must be leakage-audited before being trusted as a benchmark.</w:t>
      </w:r>
    </w:p>
    <w:p>
      <w:pPr>
        <w:pStyle w:val="Heading3"/>
      </w:pPr>
      <w:r>
        <w:t xml:space="preserve">9.2.4 F13 / F14 - Getting the Deployed Operating Point Right (High)</w:t>
      </w:r>
    </w:p>
    <w:p>
      <w:pPr>
        <w:spacing w:after="160"/>
        <w:jc w:val="both"/>
      </w:pPr>
      <w:r>
        <w:rPr>
          <w:b w:val="false"/>
          <w:bCs w:val="false"/>
          <w:i w:val="false"/>
          <w:iCs w:val="false"/>
        </w:rPr>
        <w:t xml:space="preserve">An earlier promotion of a class-agnostic detector head (F12) was reverted after re-checking it at a fair, matched confidence threshold against the existing six-class detector: most of the apparent field-recall gain turned out to come from simply lowering the confidence threshold (an allowed, free lever), not from the architecture change. The confidence threshold was retuned instead (0.10 to 0.04), lifting field recall by 8.1 points and studio recall by 5.3 points with no architecture change at all. Separately, field reports of glass being labelled plastic were traced to the score-fusion stage: the detector is plastic-biased on field imagery and its vote, at the original fusion weight, could override a confident and objectively correct classifier call. Capping the fusion weight fixed the field failure mode at a small, measured cost in studio conditions.</w:t>
      </w:r>
    </w:p>
    <w:p>
      <w:pPr>
        <w:pStyle w:val="Heading3"/>
      </w:pPr>
      <w:r>
        <w:t xml:space="preserve">9.2.5 F16 - A Rejected Gate Change (Info, but methodologically important)</w:t>
      </w:r>
    </w:p>
    <w:p>
      <w:pPr>
        <w:spacing w:after="160"/>
        <w:jc w:val="both"/>
      </w:pPr>
      <w:r>
        <w:rPr>
          <w:b w:val="false"/>
          <w:bCs w:val="false"/>
          <w:i w:val="false"/>
          <w:iCs w:val="false"/>
        </w:rPr>
        <w:t xml:space="preserve">A change that loosened the waste-state decision gate looked convincing on a six-image demo set (confidently classified metal cans stopped being marked 'review'). A larger, two-domain precision check (120 field plus 150 studio images) showed the change nearly doubled the number of boxes labelled 'waste', but only about 48% of the new promotions were correctly localised objects, costing roughly 15 percentage points of precision. The change was reverted. This failure is recorded specifically as a methodological warning: a small demo can flatter a change that a larger, matched-operating-point check reveals to be a regression, and this project's promotion-gate discipline (Section 5.2) exists to catch exactly this pattern.</w:t>
      </w:r>
    </w:p>
    <w:p>
      <w:pPr>
        <w:pStyle w:val="Heading1"/>
      </w:pPr>
      <w:r>
        <w:t xml:space="preserve">10. Product Evaluation</w:t>
      </w:r>
    </w:p>
    <w:p>
      <w:pPr>
        <w:pStyle w:val="Heading2"/>
      </w:pPr>
      <w:r>
        <w:t xml:space="preserve">10.1 Strengths</w:t>
      </w:r>
    </w:p>
    <w:p>
      <w:pPr>
        <w:pStyle w:val="ListParagraph"/>
        <w:numPr>
          <w:ilvl w:val="0"/>
          <w:numId w:val="3"/>
        </w:numPr>
        <w:spacing w:after="80"/>
      </w:pPr>
      <w:r>
        <w:t xml:space="preserve">Every headline number in this report is backed by a script and a run folder in the project repository, with dated commit history, and can be reproduced by re-running the corresponding script.</w:t>
      </w:r>
    </w:p>
    <w:p>
      <w:pPr>
        <w:pStyle w:val="ListParagraph"/>
        <w:numPr>
          <w:ilvl w:val="0"/>
          <w:numId w:val="3"/>
        </w:numPr>
        <w:spacing w:after="80"/>
      </w:pPr>
      <w:r>
        <w:t xml:space="preserve">The project caught its own most damaging measurement bug (cross-split data leakage) through a self-initiated audit rather than an external review, and corrected every affected number rather than quietly keeping the more flattering figures.</w:t>
      </w:r>
    </w:p>
    <w:p>
      <w:pPr>
        <w:pStyle w:val="ListParagraph"/>
        <w:numPr>
          <w:ilvl w:val="0"/>
          <w:numId w:val="3"/>
        </w:numPr>
        <w:spacing w:after="80"/>
      </w:pPr>
      <w:r>
        <w:t xml:space="preserve">The two-stage, localisation-first architecture is justified by a direct, matched-condition comparison against a classification-first alternative, not by design intuition alone.</w:t>
      </w:r>
    </w:p>
    <w:p>
      <w:pPr>
        <w:pStyle w:val="ListParagraph"/>
        <w:numPr>
          <w:ilvl w:val="0"/>
          <w:numId w:val="3"/>
        </w:numPr>
        <w:spacing w:after="80"/>
      </w:pPr>
      <w:r>
        <w:t xml:space="preserve">The explainable classical-ML branch gives a fully interpretable second opinion (feature-importance analysis) alongside the deep-learning branch, satisfying the project objective of explainability without sacrificing the production branch's accuracy.</w:t>
      </w:r>
    </w:p>
    <w:p>
      <w:pPr>
        <w:pStyle w:val="ListParagraph"/>
        <w:numPr>
          <w:ilvl w:val="0"/>
          <w:numId w:val="3"/>
        </w:numPr>
        <w:spacing w:after="80"/>
      </w:pPr>
      <w:r>
        <w:t xml:space="preserve">A working, live, end-to-end web demo exists and is the same system the offline numbers describe, not a separate illustrative mock-up.</w:t>
      </w:r>
    </w:p>
    <w:p>
      <w:pPr>
        <w:pStyle w:val="ListParagraph"/>
        <w:numPr>
          <w:ilvl w:val="0"/>
          <w:numId w:val="3"/>
        </w:numPr>
        <w:spacing w:after="80"/>
      </w:pPr>
      <w:r>
        <w:t xml:space="preserve">A disciplined promotion-gate process rejected three proposed improvements that did not survive honest measurement (tiled training, field-rebalance fine-tuning, an ungated gate loosening), which is itself evidence of a trustworthy evaluation process.</w:t>
      </w:r>
    </w:p>
    <w:p>
      <w:pPr>
        <w:pStyle w:val="Heading2"/>
      </w:pPr>
      <w:r>
        <w:t xml:space="preserve">10.2 Limitations and Challenges</w:t>
      </w:r>
    </w:p>
    <w:p>
      <w:pPr>
        <w:pStyle w:val="ListParagraph"/>
        <w:numPr>
          <w:ilvl w:val="0"/>
          <w:numId w:val="3"/>
        </w:numPr>
        <w:spacing w:after="80"/>
      </w:pPr>
      <w:r>
        <w:t xml:space="preserve">Domain shift is the dominant error source: the gap between studio-style training data and real field imagery is far larger than any model-architecture choice measured in this project.</w:t>
      </w:r>
    </w:p>
    <w:p>
      <w:pPr>
        <w:pStyle w:val="ListParagraph"/>
        <w:numPr>
          <w:ilvl w:val="0"/>
          <w:numId w:val="3"/>
        </w:numPr>
        <w:spacing w:after="80"/>
      </w:pPr>
      <w:r>
        <w:t xml:space="preserve">Localisation recall has a ceiling around 0.57-0.65 at the deployed operating point; small, transparent, and heavily occluded litter remains the primary undetected category, and the adaptive recovery mode mitigates this per-scene rather than solving it generally.</w:t>
      </w:r>
    </w:p>
    <w:p>
      <w:pPr>
        <w:pStyle w:val="ListParagraph"/>
        <w:numPr>
          <w:ilvl w:val="0"/>
          <w:numId w:val="3"/>
        </w:numPr>
        <w:spacing w:after="80"/>
      </w:pPr>
      <w:r>
        <w:t xml:space="preserve">Some reported ML comparisons (for example the newest-dataset classical-ML rerun) have thin test support for minority classes, which the report flags explicitly rather than presenting as a clean balanced benchmark.</w:t>
      </w:r>
    </w:p>
    <w:p>
      <w:pPr>
        <w:pStyle w:val="ListParagraph"/>
        <w:numPr>
          <w:ilvl w:val="0"/>
          <w:numId w:val="3"/>
        </w:numPr>
        <w:spacing w:after="80"/>
      </w:pPr>
      <w:r>
        <w:t xml:space="preserve">The waste-state gate is a hand-tuned rule layer, not a learned model, pending a dataset with genuine contamination/state labels, which does not currently exist for this problem.</w:t>
      </w:r>
    </w:p>
    <w:p>
      <w:pPr>
        <w:pStyle w:val="ListParagraph"/>
        <w:numPr>
          <w:ilvl w:val="0"/>
          <w:numId w:val="3"/>
        </w:numPr>
        <w:spacing w:after="80"/>
      </w:pPr>
      <w:r>
        <w:t xml:space="preserve">All training ran on a single consumer GPU (RTX 3060, 12 GB); larger backbones and transformer-based detectors were out of budget and remain unexplored.</w:t>
      </w:r>
    </w:p>
    <w:p>
      <w:pPr>
        <w:pStyle w:val="ListParagraph"/>
        <w:numPr>
          <w:ilvl w:val="0"/>
          <w:numId w:val="3"/>
        </w:numPr>
        <w:spacing w:after="80"/>
      </w:pPr>
      <w:r>
        <w:t xml:space="preserve">Redeployment of the latest fixes (Section 9, Failures F13-F15) to the public Hugging Face Space demo should be verified before any live presentation, since several fixes were validated offline shortly before submission.</w:t>
      </w:r>
    </w:p>
    <w:p>
      <w:r>
        <w:br w:type="page"/>
      </w:r>
    </w:p>
    <w:p>
      <w:pPr>
        <w:pStyle w:val="Heading1"/>
      </w:pPr>
      <w:r>
        <w:t xml:space="preserve">11. Conclusion and Future Work</w:t>
      </w:r>
    </w:p>
    <w:p>
      <w:pPr>
        <w:pStyle w:val="Heading2"/>
      </w:pPr>
      <w:r>
        <w:t xml:space="preserve">11.1 Knowledge, Experience, and Insights</w:t>
      </w:r>
    </w:p>
    <w:p>
      <w:pPr>
        <w:spacing w:after="160"/>
        <w:jc w:val="both"/>
      </w:pPr>
      <w:r>
        <w:rPr>
          <w:b w:val="false"/>
          <w:bCs w:val="false"/>
          <w:i w:val="false"/>
          <w:iCs w:val="false"/>
        </w:rPr>
        <w:t xml:space="preserve">The most transferable lesson from this project is methodological rather than architectural: an evaluation number is only as trustworthy as the audit that has been run against it, and the discipline of re-measuring after every dataset or model change caught more real problems (data leakage, a broken cross-domain script, a cherry-picked PCA headline, a mismatched serving resolution, a fusion bug) than any single modelling improvement did. A second, more technical insight is that the ordering of a multi-stage pipeline is itself a hypothesis that should be tested, not assumed - the localisation-first vs. classification-first comparison in Section 8.3.1 turned what could have been a design-by-intuition choice into a measured one.</w:t>
      </w:r>
    </w:p>
    <w:p>
      <w:pPr>
        <w:pStyle w:val="Heading2"/>
      </w:pPr>
      <w:r>
        <w:t xml:space="preserve">11.2 Achievement Assessment</w:t>
      </w:r>
    </w:p>
    <w:p>
      <w:pPr>
        <w:spacing w:after="160"/>
        <w:jc w:val="both"/>
      </w:pPr>
      <w:r>
        <w:rPr>
          <w:b w:val="false"/>
          <w:bCs w:val="false"/>
          <w:i w:val="false"/>
          <w:iCs w:val="false"/>
        </w:rPr>
        <w:t xml:space="preserve">Measured against the objectives in Section 1.2: an explainable classical-ML baseline was built and benchmarked (Objective 1); a two-stage production pipeline was built, deployed, and shown to outperform a classification-first alternative on matched evaluation data (Objective 2); every dataset used was audited for leakage, imbalance, and label noise, with the leakage finding becoming the project's central piece of evidence (Objective 3); the studio-to-field domain gap was quantified rather than assumed, and used to direct a targeted PlastOPol field-data expansion (Objective 4); the pipeline was deployed as a working web application with a live model API (Objective 5); and a sixteen-entry failure log was maintained throughout, including several honestly rejected fixes (Objective 6). The main shortfall against the original ambition is localisation recall on small and occluded objects, which remains a measured, open limitation rather than a resolved one.</w:t>
      </w:r>
    </w:p>
    <w:p>
      <w:pPr>
        <w:pStyle w:val="Heading2"/>
      </w:pPr>
      <w:r>
        <w:t xml:space="preserve">11.3 Future Work</w:t>
      </w:r>
    </w:p>
    <w:p>
      <w:pPr>
        <w:pStyle w:val="ListParagraph"/>
        <w:numPr>
          <w:ilvl w:val="0"/>
          <w:numId w:val="2"/>
        </w:numPr>
        <w:spacing w:after="80"/>
      </w:pPr>
      <w:r>
        <w:t xml:space="preserve">Expand field-domain training data further using additional external, source-isolated litter datasets, following the same dHash leakage-audit procedure established in Section 6.4, since Failures F11-F15 show new field data - not resampling of existing data - is the only lever that has moved field recall.</w:t>
      </w:r>
    </w:p>
    <w:p>
      <w:pPr>
        <w:pStyle w:val="ListParagraph"/>
        <w:numPr>
          <w:ilvl w:val="0"/>
          <w:numId w:val="2"/>
        </w:numPr>
        <w:spacing w:after="80"/>
      </w:pPr>
      <w:r>
        <w:t xml:space="preserve">Replace the rule-based waste-state gate with a learned model once a dataset with genuine cleanliness/contamination labels becomes available.</w:t>
      </w:r>
    </w:p>
    <w:p>
      <w:pPr>
        <w:pStyle w:val="ListParagraph"/>
        <w:numPr>
          <w:ilvl w:val="0"/>
          <w:numId w:val="2"/>
        </w:numPr>
        <w:spacing w:after="80"/>
      </w:pPr>
      <w:r>
        <w:t xml:space="preserve">Investigate transformer-based or larger convolutional detector backbones under a larger compute budget, now that a solid, leakage-audited baseline exists to compare against.</w:t>
      </w:r>
    </w:p>
    <w:p>
      <w:pPr>
        <w:pStyle w:val="ListParagraph"/>
        <w:numPr>
          <w:ilvl w:val="0"/>
          <w:numId w:val="2"/>
        </w:numPr>
        <w:spacing w:after="80"/>
      </w:pPr>
      <w:r>
        <w:t xml:space="preserve">Extend the explainable classical-ML branch's feature-importance analysis into a user-facing explanation panel in the web application, so end users - not only the project author - can see why a material label was assigned.</w:t>
      </w:r>
    </w:p>
    <w:p>
      <w:pPr>
        <w:pStyle w:val="ListParagraph"/>
        <w:numPr>
          <w:ilvl w:val="0"/>
          <w:numId w:val="2"/>
        </w:numPr>
        <w:spacing w:after="80"/>
      </w:pPr>
      <w:r>
        <w:t xml:space="preserve">Add a lightweight contamination-state classifier trained on a purpose-collected small dataset, replacing the current conservative heuristic gate discussed in Section 7.3.6.</w:t>
      </w:r>
    </w:p>
    <w:p>
      <w:r>
        <w:br w:type="page"/>
      </w:r>
    </w:p>
    <w:p>
      <w:pPr>
        <w:pStyle w:val="Heading1"/>
      </w:pPr>
      <w:r>
        <w:t xml:space="preserve">References</w:t>
      </w:r>
    </w:p>
    <w:p>
      <w:pPr>
        <w:spacing w:after="140"/>
        <w:ind w:left="400" w:hanging="400"/>
        <w:jc w:val="both"/>
      </w:pPr>
      <w:r>
        <w:rPr>
          <w:sz w:val="20"/>
          <w:szCs w:val="20"/>
        </w:rPr>
        <w:t xml:space="preserve">Akyon, F. C., Altinuc, S. O., and Temizel, A. (2022) 'Slicing Aided Hyper Inference and Fine-tuning for Small Object Detection', 2022 IEEE International Conference on Image Processing (ICIP), pp. 966-970.</w:t>
      </w:r>
    </w:p>
    <w:p>
      <w:pPr>
        <w:spacing w:after="140"/>
        <w:ind w:left="400" w:hanging="400"/>
        <w:jc w:val="both"/>
      </w:pPr>
      <w:r>
        <w:rPr>
          <w:sz w:val="20"/>
          <w:szCs w:val="20"/>
        </w:rPr>
        <w:t xml:space="preserve">Breiman, L. (2001) 'Random Forests', Machine Learning, 45(1), pp. 5-32.</w:t>
      </w:r>
    </w:p>
    <w:p>
      <w:pPr>
        <w:spacing w:after="140"/>
        <w:ind w:left="400" w:hanging="400"/>
        <w:jc w:val="both"/>
      </w:pPr>
      <w:r>
        <w:rPr>
          <w:sz w:val="20"/>
          <w:szCs w:val="20"/>
        </w:rPr>
        <w:t xml:space="preserve">Chen, T. and Guestrin, C. (2016) 'XGBoost: A Scalable Tree Boosting System', Proceedings of the 22nd ACM SIGKDD International Conference on Knowledge Discovery and Data Mining, pp. 785-794.</w:t>
      </w:r>
    </w:p>
    <w:p>
      <w:pPr>
        <w:spacing w:after="140"/>
        <w:ind w:left="400" w:hanging="400"/>
        <w:jc w:val="both"/>
      </w:pPr>
      <w:r>
        <w:rPr>
          <w:sz w:val="20"/>
          <w:szCs w:val="20"/>
        </w:rPr>
        <w:t xml:space="preserve">Dalal, N. and Triggs, B. (2005) 'Histograms of Oriented Gradients for Human Detection', 2005 IEEE Computer Society Conference on Computer Vision and Pattern Recognition (CVPR), vol. 1, pp. 886-893.</w:t>
      </w:r>
    </w:p>
    <w:p>
      <w:pPr>
        <w:spacing w:after="140"/>
        <w:ind w:left="400" w:hanging="400"/>
        <w:jc w:val="both"/>
      </w:pPr>
      <w:r>
        <w:rPr>
          <w:sz w:val="20"/>
          <w:szCs w:val="20"/>
        </w:rPr>
        <w:t xml:space="preserve">Jocher, G. and Qiu, J. (2024) Ultralytics YOLO11 (version 11.0.0) [software]. Available at: https://github.com/ultralytics/ultralytics</w:t>
      </w:r>
    </w:p>
    <w:p>
      <w:pPr>
        <w:spacing w:after="140"/>
        <w:ind w:left="400" w:hanging="400"/>
        <w:jc w:val="both"/>
      </w:pPr>
      <w:r>
        <w:rPr>
          <w:sz w:val="20"/>
          <w:szCs w:val="20"/>
        </w:rPr>
        <w:t xml:space="preserve">Jolliffe, I. T. (2002) Principal Component Analysis. 2nd edn. New York: Springer.</w:t>
      </w:r>
    </w:p>
    <w:p>
      <w:pPr>
        <w:spacing w:after="140"/>
        <w:ind w:left="400" w:hanging="400"/>
        <w:jc w:val="both"/>
      </w:pPr>
      <w:r>
        <w:rPr>
          <w:sz w:val="20"/>
          <w:szCs w:val="20"/>
        </w:rPr>
        <w:t xml:space="preserve">Liu, Z., Mao, H., Wu, C.-Y., Feichtenhofer, C., Darrell, T., and Xie, S. (2022) 'A ConvNet for the 2020s', Proceedings of the IEEE/CVF Conference on Computer Vision and Pattern Recognition (CVPR), pp. 11976-11986.</w:t>
      </w:r>
    </w:p>
    <w:p>
      <w:pPr>
        <w:spacing w:after="140"/>
        <w:ind w:left="400" w:hanging="400"/>
        <w:jc w:val="both"/>
      </w:pPr>
      <w:r>
        <w:rPr>
          <w:sz w:val="20"/>
          <w:szCs w:val="20"/>
        </w:rPr>
        <w:t xml:space="preserve">Pearson, K. (1901) 'On Lines and Planes of Closest Fit to Systems of Points in Space', Philosophical Magazine, 2(11), pp. 559-572.</w:t>
      </w:r>
    </w:p>
    <w:p>
      <w:pPr>
        <w:spacing w:after="140"/>
        <w:ind w:left="400" w:hanging="400"/>
        <w:jc w:val="both"/>
      </w:pPr>
      <w:r>
        <w:rPr>
          <w:sz w:val="20"/>
          <w:szCs w:val="20"/>
        </w:rPr>
        <w:t xml:space="preserve">Proenca, P. F. and Simoes, P. (2020) 'TACO: Trash Annotations in Context for Litter Detection', arXiv preprint arXiv:2003.06975.</w:t>
      </w:r>
    </w:p>
    <w:p>
      <w:pPr>
        <w:spacing w:after="140"/>
        <w:ind w:left="400" w:hanging="400"/>
        <w:jc w:val="both"/>
      </w:pPr>
      <w:r>
        <w:rPr>
          <w:sz w:val="20"/>
          <w:szCs w:val="20"/>
        </w:rPr>
        <w:t xml:space="preserve">Environmental Modelling &amp; Software (2023) 'The PlastOPol system for marine litter monitoring by citizen scientists', Environmental Modelling &amp; Software, DOI: 10.1016/j.envsoft.2023.105784.</w:t>
      </w:r>
    </w:p>
    <w:p>
      <w:pPr>
        <w:spacing w:after="140"/>
        <w:ind w:left="400" w:hanging="400"/>
        <w:jc w:val="both"/>
      </w:pPr>
      <w:r>
        <w:rPr>
          <w:sz w:val="20"/>
          <w:szCs w:val="20"/>
        </w:rPr>
        <w:t xml:space="preserve">Roboflow Universe (2023) PlastOPol Litter Detection Dataset. Available at: https://universe.roboflow.com/ (accessed 2026).</w:t>
      </w:r>
    </w:p>
    <w:p>
      <w:pPr>
        <w:spacing w:after="140"/>
        <w:ind w:left="400" w:hanging="400"/>
        <w:jc w:val="both"/>
      </w:pPr>
      <w:r>
        <w:rPr>
          <w:sz w:val="20"/>
          <w:szCs w:val="20"/>
        </w:rPr>
        <w:t xml:space="preserve">Selvaraju, R. R., Cogswell, M., Das, A., Vedantam, R., Parikh, D., and Batra, D. (2017) 'Grad-CAM: Visual Explanations from Deep Networks via Gradient-based Localization', Proceedings of the IEEE International Conference on Computer Vision (ICCV), pp. 618-626.</w:t>
      </w:r>
    </w:p>
    <w:p>
      <w:pPr>
        <w:spacing w:after="140"/>
        <w:ind w:left="400" w:hanging="400"/>
        <w:jc w:val="both"/>
      </w:pPr>
      <w:r>
        <w:rPr>
          <w:sz w:val="20"/>
          <w:szCs w:val="20"/>
        </w:rPr>
        <w:t xml:space="preserve">Tan, M. and Le, Q. (2019) 'EfficientNet: Rethinking Model Scaling for Convolutional Neural Networks', Proceedings of the 36th International Conference on Machine Learning (ICML), pp. 6105-6114.</w:t>
      </w:r>
    </w:p>
    <w:p>
      <w:pPr>
        <w:spacing w:after="140"/>
        <w:ind w:left="400" w:hanging="400"/>
        <w:jc w:val="both"/>
      </w:pPr>
      <w:r>
        <w:rPr>
          <w:sz w:val="20"/>
          <w:szCs w:val="20"/>
        </w:rPr>
        <w:t xml:space="preserve">Torralba, A., Oliva, A., Castelhano, M. S., and Henderson, J. M. (2006) 'Contextual Guidance of Eye Movements and Attention in Real-World Scenes: The Role of Global Features in Object Search', Psychological Review, 113(4), pp. 766-786.</w:t>
      </w:r>
    </w:p>
    <w:p>
      <w:pPr>
        <w:spacing w:after="140"/>
        <w:ind w:left="400" w:hanging="400"/>
        <w:jc w:val="both"/>
      </w:pPr>
      <w:r>
        <w:rPr>
          <w:sz w:val="20"/>
          <w:szCs w:val="20"/>
        </w:rPr>
        <w:t xml:space="preserve">Ultralytics (2025) Ultralytics YOLO26: The New Standard for Edge-First Vision AI [online]. Available at: https://docs.ultralytics.com/models/yolo26</w:t>
      </w:r>
    </w:p>
    <w:p>
      <w:pPr>
        <w:spacing w:after="140"/>
        <w:ind w:left="400" w:hanging="400"/>
        <w:jc w:val="both"/>
      </w:pPr>
      <w:r>
        <w:rPr>
          <w:sz w:val="20"/>
          <w:szCs w:val="20"/>
        </w:rPr>
        <w:t xml:space="preserve">Woo, S., Debnath, S., Hu, R., Chen, X., Liu, Z., Kweon, I. S., and Xie, S. (2023) 'ConvNeXt V2: Co-designing and Scaling ConvNets with Masked Autoencoders', Proceedings of the IEEE/CVF Conference on Computer Vision and Pattern Recognition (CVPR), pp. 16133-16142.</w:t>
      </w:r>
    </w:p>
    <w:p>
      <w:pPr>
        <w:spacing w:after="140"/>
        <w:ind w:left="400" w:hanging="400"/>
        <w:jc w:val="both"/>
      </w:pPr>
      <w:r>
        <w:rPr>
          <w:sz w:val="20"/>
          <w:szCs w:val="20"/>
        </w:rPr>
        <w:t xml:space="preserve">Yang, M. and Thung, G. (2016) 'Classification of Trash for Recyclability Status', CS229 Project Report, Stanford University.</w:t>
      </w:r>
    </w:p>
    <w:p>
      <w:r>
        <w:br w:type="page"/>
      </w:r>
    </w:p>
    <w:p>
      <w:pPr>
        <w:pStyle w:val="Heading1"/>
      </w:pPr>
      <w:r>
        <w:t xml:space="preserve">Appendix A. Master Model-Comparison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1900"/>
        <w:gridCol w:w="1760"/>
        <w:gridCol w:w="1500"/>
      </w:tblGrid>
      <w:tr>
        <w:trPr>
          <w:tblHeader/>
        </w:trPr>
        <w:tc>
          <w:tcPr>
            <w:tcW w:type="dxa" w:w="1600"/>
            <w:tcBorders>
              <w:top w:val="single" w:color="B0B7C3" w:sz="1"/>
              <w:left w:val="single" w:color="B0B7C3" w:sz="1"/>
              <w:bottom w:val="single" w:color="B0B7C3" w:sz="1"/>
              <w:right w:val="single" w:color="B0B7C3" w:sz="1"/>
            </w:tcBorders>
            <w:shd w:fill="1F2937" w:val="clear"/>
            <w:tcMar>
              <w:top w:type="dxa" w:w="80"/>
              <w:left w:type="dxa" w:w="120"/>
              <w:bottom w:type="dxa" w:w="80"/>
              <w:right w:type="dxa" w:w="120"/>
            </w:tcMar>
            <w:vAlign w:val="center"/>
          </w:tcPr>
          <w:p>
            <w:r>
              <w:rPr>
                <w:b/>
                <w:bCs/>
                <w:color w:val="FFFFFF"/>
                <w:sz w:val="19"/>
                <w:szCs w:val="19"/>
              </w:rPr>
              <w:t xml:space="preserve">Branch</w:t>
            </w:r>
          </w:p>
        </w:tc>
        <w:tc>
          <w:tcPr>
            <w:tcW w:type="dxa" w:w="2600"/>
            <w:tcBorders>
              <w:top w:val="single" w:color="B0B7C3" w:sz="1"/>
              <w:left w:val="single" w:color="B0B7C3" w:sz="1"/>
              <w:bottom w:val="single" w:color="B0B7C3" w:sz="1"/>
              <w:right w:val="single" w:color="B0B7C3" w:sz="1"/>
            </w:tcBorders>
            <w:shd w:fill="1F2937" w:val="clear"/>
            <w:tcMar>
              <w:top w:type="dxa" w:w="80"/>
              <w:left w:type="dxa" w:w="120"/>
              <w:bottom w:type="dxa" w:w="80"/>
              <w:right w:type="dxa" w:w="120"/>
            </w:tcMar>
            <w:vAlign w:val="center"/>
          </w:tcPr>
          <w:p>
            <w:r>
              <w:rPr>
                <w:b/>
                <w:bCs/>
                <w:color w:val="FFFFFF"/>
                <w:sz w:val="19"/>
                <w:szCs w:val="19"/>
              </w:rPr>
              <w:t xml:space="preserve">Best model</w:t>
            </w:r>
          </w:p>
        </w:tc>
        <w:tc>
          <w:tcPr>
            <w:tcW w:type="dxa" w:w="1900"/>
            <w:tcBorders>
              <w:top w:val="single" w:color="B0B7C3" w:sz="1"/>
              <w:left w:val="single" w:color="B0B7C3" w:sz="1"/>
              <w:bottom w:val="single" w:color="B0B7C3" w:sz="1"/>
              <w:right w:val="single" w:color="B0B7C3" w:sz="1"/>
            </w:tcBorders>
            <w:shd w:fill="1F2937" w:val="clear"/>
            <w:tcMar>
              <w:top w:type="dxa" w:w="80"/>
              <w:left w:type="dxa" w:w="120"/>
              <w:bottom w:type="dxa" w:w="80"/>
              <w:right w:type="dxa" w:w="120"/>
            </w:tcMar>
            <w:vAlign w:val="center"/>
          </w:tcPr>
          <w:p>
            <w:r>
              <w:rPr>
                <w:b/>
                <w:bCs/>
                <w:color w:val="FFFFFF"/>
                <w:sz w:val="19"/>
                <w:szCs w:val="19"/>
              </w:rPr>
              <w:t xml:space="preserve">Metric</w:t>
            </w:r>
          </w:p>
        </w:tc>
        <w:tc>
          <w:tcPr>
            <w:tcW w:type="dxa" w:w="1760"/>
            <w:tcBorders>
              <w:top w:val="single" w:color="B0B7C3" w:sz="1"/>
              <w:left w:val="single" w:color="B0B7C3" w:sz="1"/>
              <w:bottom w:val="single" w:color="B0B7C3" w:sz="1"/>
              <w:right w:val="single" w:color="B0B7C3" w:sz="1"/>
            </w:tcBorders>
            <w:shd w:fill="1F2937" w:val="clear"/>
            <w:tcMar>
              <w:top w:type="dxa" w:w="80"/>
              <w:left w:type="dxa" w:w="120"/>
              <w:bottom w:type="dxa" w:w="80"/>
              <w:right w:type="dxa" w:w="120"/>
            </w:tcMar>
            <w:vAlign w:val="center"/>
          </w:tcPr>
          <w:p>
            <w:r>
              <w:rPr>
                <w:b/>
                <w:bCs/>
                <w:color w:val="FFFFFF"/>
                <w:sz w:val="19"/>
                <w:szCs w:val="19"/>
              </w:rPr>
              <w:t xml:space="preserve">Value</w:t>
            </w:r>
          </w:p>
        </w:tc>
        <w:tc>
          <w:tcPr>
            <w:tcW w:type="dxa" w:w="1500"/>
            <w:tcBorders>
              <w:top w:val="single" w:color="B0B7C3" w:sz="1"/>
              <w:left w:val="single" w:color="B0B7C3" w:sz="1"/>
              <w:bottom w:val="single" w:color="B0B7C3" w:sz="1"/>
              <w:right w:val="single" w:color="B0B7C3" w:sz="1"/>
            </w:tcBorders>
            <w:shd w:fill="1F2937" w:val="clear"/>
            <w:tcMar>
              <w:top w:type="dxa" w:w="80"/>
              <w:left w:type="dxa" w:w="120"/>
              <w:bottom w:type="dxa" w:w="80"/>
              <w:right w:type="dxa" w:w="120"/>
            </w:tcMar>
            <w:vAlign w:val="center"/>
          </w:tcPr>
          <w:p>
            <w:r>
              <w:rPr>
                <w:b/>
                <w:bCs/>
                <w:color w:val="FFFFFF"/>
                <w:sz w:val="19"/>
                <w:szCs w:val="19"/>
              </w:rPr>
              <w:t xml:space="preserve">Evaluation split</w:t>
            </w:r>
          </w:p>
        </w:tc>
      </w:tr>
      <w:tr>
        <w:tc>
          <w:tcPr>
            <w:tcW w:type="dxa" w:w="1600"/>
            <w:tcBorders>
              <w:top w:val="single" w:color="B0B7C3" w:sz="1"/>
              <w:left w:val="single" w:color="B0B7C3" w:sz="1"/>
              <w:bottom w:val="single" w:color="B0B7C3" w:sz="1"/>
              <w:right w:val="single" w:color="B0B7C3" w:sz="1"/>
            </w:tcBorders>
            <w:shd w:fill="F8FAFC" w:val="clear"/>
            <w:tcMar>
              <w:top w:type="dxa" w:w="60"/>
              <w:left w:type="dxa" w:w="120"/>
              <w:bottom w:type="dxa" w:w="60"/>
              <w:right w:type="dxa" w:w="120"/>
            </w:tcMar>
            <w:vAlign w:val="center"/>
          </w:tcPr>
          <w:p>
            <w:r>
              <w:rPr>
                <w:b w:val="false"/>
                <w:bCs w:val="false"/>
                <w:sz w:val="19"/>
                <w:szCs w:val="19"/>
              </w:rPr>
              <w:t xml:space="preserve">Classical ML</w:t>
            </w:r>
          </w:p>
        </w:tc>
        <w:tc>
          <w:tcPr>
            <w:tcW w:type="dxa" w:w="2600"/>
            <w:tcBorders>
              <w:top w:val="single" w:color="B0B7C3" w:sz="1"/>
              <w:left w:val="single" w:color="B0B7C3" w:sz="1"/>
              <w:bottom w:val="single" w:color="B0B7C3" w:sz="1"/>
              <w:right w:val="single" w:color="B0B7C3" w:sz="1"/>
            </w:tcBorders>
            <w:shd w:fill="F8FAFC" w:val="clear"/>
            <w:tcMar>
              <w:top w:type="dxa" w:w="60"/>
              <w:left w:type="dxa" w:w="120"/>
              <w:bottom w:type="dxa" w:w="60"/>
              <w:right w:type="dxa" w:w="120"/>
            </w:tcMar>
            <w:vAlign w:val="center"/>
          </w:tcPr>
          <w:p>
            <w:r>
              <w:rPr>
                <w:b w:val="false"/>
                <w:bCs w:val="false"/>
                <w:sz w:val="19"/>
                <w:szCs w:val="19"/>
              </w:rPr>
              <w:t xml:space="preserve">XGBoost</w:t>
            </w:r>
          </w:p>
        </w:tc>
        <w:tc>
          <w:tcPr>
            <w:tcW w:type="dxa" w:w="1900"/>
            <w:tcBorders>
              <w:top w:val="single" w:color="B0B7C3" w:sz="1"/>
              <w:left w:val="single" w:color="B0B7C3" w:sz="1"/>
              <w:bottom w:val="single" w:color="B0B7C3" w:sz="1"/>
              <w:right w:val="single" w:color="B0B7C3" w:sz="1"/>
            </w:tcBorders>
            <w:shd w:fill="F8FAFC" w:val="clear"/>
            <w:tcMar>
              <w:top w:type="dxa" w:w="60"/>
              <w:left w:type="dxa" w:w="120"/>
              <w:bottom w:type="dxa" w:w="60"/>
              <w:right w:type="dxa" w:w="120"/>
            </w:tcMar>
            <w:vAlign w:val="center"/>
          </w:tcPr>
          <w:p>
            <w:r>
              <w:rPr>
                <w:b w:val="false"/>
                <w:bCs w:val="false"/>
                <w:sz w:val="19"/>
                <w:szCs w:val="19"/>
              </w:rPr>
              <w:t xml:space="preserve">Accuracy / Macro-F1</w:t>
            </w:r>
          </w:p>
        </w:tc>
        <w:tc>
          <w:tcPr>
            <w:tcW w:type="dxa" w:w="1760"/>
            <w:tcBorders>
              <w:top w:val="single" w:color="B0B7C3" w:sz="1"/>
              <w:left w:val="single" w:color="B0B7C3" w:sz="1"/>
              <w:bottom w:val="single" w:color="B0B7C3" w:sz="1"/>
              <w:right w:val="single" w:color="B0B7C3" w:sz="1"/>
            </w:tcBorders>
            <w:shd w:fill="F8FAFC" w:val="clear"/>
            <w:tcMar>
              <w:top w:type="dxa" w:w="60"/>
              <w:left w:type="dxa" w:w="120"/>
              <w:bottom w:type="dxa" w:w="60"/>
              <w:right w:type="dxa" w:w="120"/>
            </w:tcMar>
            <w:vAlign w:val="center"/>
          </w:tcPr>
          <w:p>
            <w:r>
              <w:rPr>
                <w:b w:val="false"/>
                <w:bCs w:val="false"/>
                <w:sz w:val="19"/>
                <w:szCs w:val="19"/>
              </w:rPr>
              <w:t xml:space="preserve">0.6742 / 0.6506</w:t>
            </w:r>
          </w:p>
        </w:tc>
        <w:tc>
          <w:tcPr>
            <w:tcW w:type="dxa" w:w="1500"/>
            <w:tcBorders>
              <w:top w:val="single" w:color="B0B7C3" w:sz="1"/>
              <w:left w:val="single" w:color="B0B7C3" w:sz="1"/>
              <w:bottom w:val="single" w:color="B0B7C3" w:sz="1"/>
              <w:right w:val="single" w:color="B0B7C3" w:sz="1"/>
            </w:tcBorders>
            <w:shd w:fill="F8FAFC" w:val="clear"/>
            <w:tcMar>
              <w:top w:type="dxa" w:w="60"/>
              <w:left w:type="dxa" w:w="120"/>
              <w:bottom w:type="dxa" w:w="60"/>
              <w:right w:type="dxa" w:w="120"/>
            </w:tcMar>
            <w:vAlign w:val="center"/>
          </w:tcPr>
          <w:p>
            <w:r>
              <w:rPr>
                <w:b w:val="false"/>
                <w:bCs w:val="false"/>
                <w:sz w:val="19"/>
                <w:szCs w:val="19"/>
              </w:rPr>
              <w:t xml:space="preserve">Reference 6-class, 4k/class cap</w:t>
            </w:r>
          </w:p>
        </w:tc>
      </w:tr>
      <w:tr>
        <w:tc>
          <w:tcPr>
            <w:tcW w:type="dxa" w:w="1600"/>
            <w:tcBorders>
              <w:top w:val="single" w:color="B0B7C3" w:sz="1"/>
              <w:left w:val="single" w:color="B0B7C3" w:sz="1"/>
              <w:bottom w:val="single" w:color="B0B7C3" w:sz="1"/>
              <w:right w:val="single" w:color="B0B7C3" w:sz="1"/>
            </w:tcBorders>
            <w:shd w:fill="FFFFFF" w:val="clear"/>
            <w:tcMar>
              <w:top w:type="dxa" w:w="60"/>
              <w:left w:type="dxa" w:w="120"/>
              <w:bottom w:type="dxa" w:w="60"/>
              <w:right w:type="dxa" w:w="120"/>
            </w:tcMar>
            <w:vAlign w:val="center"/>
          </w:tcPr>
          <w:p>
            <w:r>
              <w:rPr>
                <w:b w:val="false"/>
                <w:bCs w:val="false"/>
                <w:sz w:val="19"/>
                <w:szCs w:val="19"/>
              </w:rPr>
              <w:t xml:space="preserve">Classical ML (PCA, 128-D)</w:t>
            </w:r>
          </w:p>
        </w:tc>
        <w:tc>
          <w:tcPr>
            <w:tcW w:type="dxa" w:w="2600"/>
            <w:tcBorders>
              <w:top w:val="single" w:color="B0B7C3" w:sz="1"/>
              <w:left w:val="single" w:color="B0B7C3" w:sz="1"/>
              <w:bottom w:val="single" w:color="B0B7C3" w:sz="1"/>
              <w:right w:val="single" w:color="B0B7C3" w:sz="1"/>
            </w:tcBorders>
            <w:shd w:fill="FFFFFF" w:val="clear"/>
            <w:tcMar>
              <w:top w:type="dxa" w:w="60"/>
              <w:left w:type="dxa" w:w="120"/>
              <w:bottom w:type="dxa" w:w="60"/>
              <w:right w:type="dxa" w:w="120"/>
            </w:tcMar>
            <w:vAlign w:val="center"/>
          </w:tcPr>
          <w:p>
            <w:r>
              <w:rPr>
                <w:b w:val="false"/>
                <w:bCs w:val="false"/>
                <w:sz w:val="19"/>
                <w:szCs w:val="19"/>
              </w:rPr>
              <w:t xml:space="preserve">Linear SVM</w:t>
            </w:r>
          </w:p>
        </w:tc>
        <w:tc>
          <w:tcPr>
            <w:tcW w:type="dxa" w:w="1900"/>
            <w:tcBorders>
              <w:top w:val="single" w:color="B0B7C3" w:sz="1"/>
              <w:left w:val="single" w:color="B0B7C3" w:sz="1"/>
              <w:bottom w:val="single" w:color="B0B7C3" w:sz="1"/>
              <w:right w:val="single" w:color="B0B7C3" w:sz="1"/>
            </w:tcBorders>
            <w:shd w:fill="FFFFFF" w:val="clear"/>
            <w:tcMar>
              <w:top w:type="dxa" w:w="60"/>
              <w:left w:type="dxa" w:w="120"/>
              <w:bottom w:type="dxa" w:w="60"/>
              <w:right w:type="dxa" w:w="120"/>
            </w:tcMar>
            <w:vAlign w:val="center"/>
          </w:tcPr>
          <w:p>
            <w:r>
              <w:rPr>
                <w:b w:val="false"/>
                <w:bCs w:val="false"/>
                <w:sz w:val="19"/>
                <w:szCs w:val="19"/>
              </w:rPr>
              <w:t xml:space="preserve">Accuracy</w:t>
            </w:r>
          </w:p>
        </w:tc>
        <w:tc>
          <w:tcPr>
            <w:tcW w:type="dxa" w:w="1760"/>
            <w:tcBorders>
              <w:top w:val="single" w:color="B0B7C3" w:sz="1"/>
              <w:left w:val="single" w:color="B0B7C3" w:sz="1"/>
              <w:bottom w:val="single" w:color="B0B7C3" w:sz="1"/>
              <w:right w:val="single" w:color="B0B7C3" w:sz="1"/>
            </w:tcBorders>
            <w:shd w:fill="FFFFFF" w:val="clear"/>
            <w:tcMar>
              <w:top w:type="dxa" w:w="60"/>
              <w:left w:type="dxa" w:w="120"/>
              <w:bottom w:type="dxa" w:w="60"/>
              <w:right w:type="dxa" w:w="120"/>
            </w:tcMar>
            <w:vAlign w:val="center"/>
          </w:tcPr>
          <w:p>
            <w:r>
              <w:rPr>
                <w:b w:val="false"/>
                <w:bCs w:val="false"/>
                <w:sz w:val="19"/>
                <w:szCs w:val="19"/>
              </w:rPr>
              <w:t xml:space="preserve">0.5990 (-2.52pp vs. 637-D)</w:t>
            </w:r>
          </w:p>
        </w:tc>
        <w:tc>
          <w:tcPr>
            <w:tcW w:type="dxa" w:w="1500"/>
            <w:tcBorders>
              <w:top w:val="single" w:color="B0B7C3" w:sz="1"/>
              <w:left w:val="single" w:color="B0B7C3" w:sz="1"/>
              <w:bottom w:val="single" w:color="B0B7C3" w:sz="1"/>
              <w:right w:val="single" w:color="B0B7C3" w:sz="1"/>
            </w:tcBorders>
            <w:shd w:fill="FFFFFF" w:val="clear"/>
            <w:tcMar>
              <w:top w:type="dxa" w:w="60"/>
              <w:left w:type="dxa" w:w="120"/>
              <w:bottom w:type="dxa" w:w="60"/>
              <w:right w:type="dxa" w:w="120"/>
            </w:tcMar>
            <w:vAlign w:val="center"/>
          </w:tcPr>
          <w:p>
            <w:r>
              <w:rPr>
                <w:b w:val="false"/>
                <w:bCs w:val="false"/>
                <w:sz w:val="19"/>
                <w:szCs w:val="19"/>
              </w:rPr>
              <w:t xml:space="preserve">Controlled PCA sweep</w:t>
            </w:r>
          </w:p>
        </w:tc>
      </w:tr>
      <w:tr>
        <w:tc>
          <w:tcPr>
            <w:tcW w:type="dxa" w:w="1600"/>
            <w:tcBorders>
              <w:top w:val="single" w:color="B0B7C3" w:sz="1"/>
              <w:left w:val="single" w:color="B0B7C3" w:sz="1"/>
              <w:bottom w:val="single" w:color="B0B7C3" w:sz="1"/>
              <w:right w:val="single" w:color="B0B7C3" w:sz="1"/>
            </w:tcBorders>
            <w:shd w:fill="F8FAFC" w:val="clear"/>
            <w:tcMar>
              <w:top w:type="dxa" w:w="60"/>
              <w:left w:type="dxa" w:w="120"/>
              <w:bottom w:type="dxa" w:w="60"/>
              <w:right w:type="dxa" w:w="120"/>
            </w:tcMar>
            <w:vAlign w:val="center"/>
          </w:tcPr>
          <w:p>
            <w:r>
              <w:rPr>
                <w:b w:val="false"/>
                <w:bCs w:val="false"/>
                <w:sz w:val="19"/>
                <w:szCs w:val="19"/>
              </w:rPr>
              <w:t xml:space="preserve">DL classification (architecture comparison)</w:t>
            </w:r>
          </w:p>
        </w:tc>
        <w:tc>
          <w:tcPr>
            <w:tcW w:type="dxa" w:w="2600"/>
            <w:tcBorders>
              <w:top w:val="single" w:color="B0B7C3" w:sz="1"/>
              <w:left w:val="single" w:color="B0B7C3" w:sz="1"/>
              <w:bottom w:val="single" w:color="B0B7C3" w:sz="1"/>
              <w:right w:val="single" w:color="B0B7C3" w:sz="1"/>
            </w:tcBorders>
            <w:shd w:fill="F8FAFC" w:val="clear"/>
            <w:tcMar>
              <w:top w:type="dxa" w:w="60"/>
              <w:left w:type="dxa" w:w="120"/>
              <w:bottom w:type="dxa" w:w="60"/>
              <w:right w:type="dxa" w:w="120"/>
            </w:tcMar>
            <w:vAlign w:val="center"/>
          </w:tcPr>
          <w:p>
            <w:r>
              <w:rPr>
                <w:b w:val="false"/>
                <w:bCs w:val="false"/>
                <w:sz w:val="19"/>
                <w:szCs w:val="19"/>
              </w:rPr>
              <w:t xml:space="preserve">EfficientNetB0</w:t>
            </w:r>
          </w:p>
        </w:tc>
        <w:tc>
          <w:tcPr>
            <w:tcW w:type="dxa" w:w="1900"/>
            <w:tcBorders>
              <w:top w:val="single" w:color="B0B7C3" w:sz="1"/>
              <w:left w:val="single" w:color="B0B7C3" w:sz="1"/>
              <w:bottom w:val="single" w:color="B0B7C3" w:sz="1"/>
              <w:right w:val="single" w:color="B0B7C3" w:sz="1"/>
            </w:tcBorders>
            <w:shd w:fill="F8FAFC" w:val="clear"/>
            <w:tcMar>
              <w:top w:type="dxa" w:w="60"/>
              <w:left w:type="dxa" w:w="120"/>
              <w:bottom w:type="dxa" w:w="60"/>
              <w:right w:type="dxa" w:w="120"/>
            </w:tcMar>
            <w:vAlign w:val="center"/>
          </w:tcPr>
          <w:p>
            <w:r>
              <w:rPr>
                <w:b w:val="false"/>
                <w:bCs w:val="false"/>
                <w:sz w:val="19"/>
                <w:szCs w:val="19"/>
              </w:rPr>
              <w:t xml:space="preserve">Accuracy</w:t>
            </w:r>
          </w:p>
        </w:tc>
        <w:tc>
          <w:tcPr>
            <w:tcW w:type="dxa" w:w="1760"/>
            <w:tcBorders>
              <w:top w:val="single" w:color="B0B7C3" w:sz="1"/>
              <w:left w:val="single" w:color="B0B7C3" w:sz="1"/>
              <w:bottom w:val="single" w:color="B0B7C3" w:sz="1"/>
              <w:right w:val="single" w:color="B0B7C3" w:sz="1"/>
            </w:tcBorders>
            <w:shd w:fill="F8FAFC" w:val="clear"/>
            <w:tcMar>
              <w:top w:type="dxa" w:w="60"/>
              <w:left w:type="dxa" w:w="120"/>
              <w:bottom w:type="dxa" w:w="60"/>
              <w:right w:type="dxa" w:w="120"/>
            </w:tcMar>
            <w:vAlign w:val="center"/>
          </w:tcPr>
          <w:p>
            <w:r>
              <w:rPr>
                <w:b w:val="false"/>
                <w:bCs w:val="false"/>
                <w:sz w:val="19"/>
                <w:szCs w:val="19"/>
              </w:rPr>
              <w:t xml:space="preserve">0.9429</w:t>
            </w:r>
          </w:p>
        </w:tc>
        <w:tc>
          <w:tcPr>
            <w:tcW w:type="dxa" w:w="1500"/>
            <w:tcBorders>
              <w:top w:val="single" w:color="B0B7C3" w:sz="1"/>
              <w:left w:val="single" w:color="B0B7C3" w:sz="1"/>
              <w:bottom w:val="single" w:color="B0B7C3" w:sz="1"/>
              <w:right w:val="single" w:color="B0B7C3" w:sz="1"/>
            </w:tcBorders>
            <w:shd w:fill="F8FAFC" w:val="clear"/>
            <w:tcMar>
              <w:top w:type="dxa" w:w="60"/>
              <w:left w:type="dxa" w:w="120"/>
              <w:bottom w:type="dxa" w:w="60"/>
              <w:right w:type="dxa" w:w="120"/>
            </w:tcMar>
            <w:vAlign w:val="center"/>
          </w:tcPr>
          <w:p>
            <w:r>
              <w:rPr>
                <w:b w:val="false"/>
                <w:bCs w:val="false"/>
                <w:sz w:val="19"/>
                <w:szCs w:val="19"/>
              </w:rPr>
              <w:t xml:space="preserve">Balanced 7-class crops</w:t>
            </w:r>
          </w:p>
        </w:tc>
      </w:tr>
      <w:tr>
        <w:tc>
          <w:tcPr>
            <w:tcW w:type="dxa" w:w="1600"/>
            <w:tcBorders>
              <w:top w:val="single" w:color="B0B7C3" w:sz="1"/>
              <w:left w:val="single" w:color="B0B7C3" w:sz="1"/>
              <w:bottom w:val="single" w:color="B0B7C3" w:sz="1"/>
              <w:right w:val="single" w:color="B0B7C3" w:sz="1"/>
            </w:tcBorders>
            <w:shd w:fill="FFFFFF" w:val="clear"/>
            <w:tcMar>
              <w:top w:type="dxa" w:w="60"/>
              <w:left w:type="dxa" w:w="120"/>
              <w:bottom w:type="dxa" w:w="60"/>
              <w:right w:type="dxa" w:w="120"/>
            </w:tcMar>
            <w:vAlign w:val="center"/>
          </w:tcPr>
          <w:p>
            <w:r>
              <w:rPr>
                <w:b w:val="false"/>
                <w:bCs w:val="false"/>
                <w:sz w:val="19"/>
                <w:szCs w:val="19"/>
              </w:rPr>
              <w:t xml:space="preserve">DL classification (deployed, final)</w:t>
            </w:r>
          </w:p>
        </w:tc>
        <w:tc>
          <w:tcPr>
            <w:tcW w:type="dxa" w:w="2600"/>
            <w:tcBorders>
              <w:top w:val="single" w:color="B0B7C3" w:sz="1"/>
              <w:left w:val="single" w:color="B0B7C3" w:sz="1"/>
              <w:bottom w:val="single" w:color="B0B7C3" w:sz="1"/>
              <w:right w:val="single" w:color="B0B7C3" w:sz="1"/>
            </w:tcBorders>
            <w:shd w:fill="FFFFFF" w:val="clear"/>
            <w:tcMar>
              <w:top w:type="dxa" w:w="60"/>
              <w:left w:type="dxa" w:w="120"/>
              <w:bottom w:type="dxa" w:w="60"/>
              <w:right w:type="dxa" w:w="120"/>
            </w:tcMar>
            <w:vAlign w:val="center"/>
          </w:tcPr>
          <w:p>
            <w:r>
              <w:rPr>
                <w:b w:val="false"/>
                <w:bCs w:val="false"/>
                <w:sz w:val="19"/>
                <w:szCs w:val="19"/>
              </w:rPr>
              <w:t xml:space="preserve">ConvNeXt-Tiny + 637 features</w:t>
            </w:r>
          </w:p>
        </w:tc>
        <w:tc>
          <w:tcPr>
            <w:tcW w:type="dxa" w:w="1900"/>
            <w:tcBorders>
              <w:top w:val="single" w:color="B0B7C3" w:sz="1"/>
              <w:left w:val="single" w:color="B0B7C3" w:sz="1"/>
              <w:bottom w:val="single" w:color="B0B7C3" w:sz="1"/>
              <w:right w:val="single" w:color="B0B7C3" w:sz="1"/>
            </w:tcBorders>
            <w:shd w:fill="FFFFFF" w:val="clear"/>
            <w:tcMar>
              <w:top w:type="dxa" w:w="60"/>
              <w:left w:type="dxa" w:w="120"/>
              <w:bottom w:type="dxa" w:w="60"/>
              <w:right w:type="dxa" w:w="120"/>
            </w:tcMar>
            <w:vAlign w:val="center"/>
          </w:tcPr>
          <w:p>
            <w:r>
              <w:rPr>
                <w:b w:val="false"/>
                <w:bCs w:val="false"/>
                <w:sz w:val="19"/>
                <w:szCs w:val="19"/>
              </w:rPr>
              <w:t xml:space="preserve">Accuracy</w:t>
            </w:r>
          </w:p>
        </w:tc>
        <w:tc>
          <w:tcPr>
            <w:tcW w:type="dxa" w:w="1760"/>
            <w:tcBorders>
              <w:top w:val="single" w:color="B0B7C3" w:sz="1"/>
              <w:left w:val="single" w:color="B0B7C3" w:sz="1"/>
              <w:bottom w:val="single" w:color="B0B7C3" w:sz="1"/>
              <w:right w:val="single" w:color="B0B7C3" w:sz="1"/>
            </w:tcBorders>
            <w:shd w:fill="FFFFFF" w:val="clear"/>
            <w:tcMar>
              <w:top w:type="dxa" w:w="60"/>
              <w:left w:type="dxa" w:w="120"/>
              <w:bottom w:type="dxa" w:w="60"/>
              <w:right w:type="dxa" w:w="120"/>
            </w:tcMar>
            <w:vAlign w:val="center"/>
          </w:tcPr>
          <w:p>
            <w:r>
              <w:rPr>
                <w:b w:val="false"/>
                <w:bCs w:val="false"/>
                <w:sz w:val="19"/>
                <w:szCs w:val="19"/>
              </w:rPr>
              <w:t xml:space="preserve">0.9388 test / 0.9377 clean (post-audit)</w:t>
            </w:r>
          </w:p>
        </w:tc>
        <w:tc>
          <w:tcPr>
            <w:tcW w:type="dxa" w:w="1500"/>
            <w:tcBorders>
              <w:top w:val="single" w:color="B0B7C3" w:sz="1"/>
              <w:left w:val="single" w:color="B0B7C3" w:sz="1"/>
              <w:bottom w:val="single" w:color="B0B7C3" w:sz="1"/>
              <w:right w:val="single" w:color="B0B7C3" w:sz="1"/>
            </w:tcBorders>
            <w:shd w:fill="FFFFFF" w:val="clear"/>
            <w:tcMar>
              <w:top w:type="dxa" w:w="60"/>
              <w:left w:type="dxa" w:w="120"/>
              <w:bottom w:type="dxa" w:w="60"/>
              <w:right w:type="dxa" w:w="120"/>
            </w:tcMar>
            <w:vAlign w:val="center"/>
          </w:tcPr>
          <w:p>
            <w:r>
              <w:rPr>
                <w:b w:val="false"/>
                <w:bCs w:val="false"/>
                <w:sz w:val="19"/>
                <w:szCs w:val="19"/>
              </w:rPr>
              <w:t xml:space="preserve">Hard-case retrain, clean split</w:t>
            </w:r>
          </w:p>
        </w:tc>
      </w:tr>
      <w:tr>
        <w:tc>
          <w:tcPr>
            <w:tcW w:type="dxa" w:w="1600"/>
            <w:tcBorders>
              <w:top w:val="single" w:color="B0B7C3" w:sz="1"/>
              <w:left w:val="single" w:color="B0B7C3" w:sz="1"/>
              <w:bottom w:val="single" w:color="B0B7C3" w:sz="1"/>
              <w:right w:val="single" w:color="B0B7C3" w:sz="1"/>
            </w:tcBorders>
            <w:shd w:fill="F8FAFC" w:val="clear"/>
            <w:tcMar>
              <w:top w:type="dxa" w:w="60"/>
              <w:left w:type="dxa" w:w="120"/>
              <w:bottom w:type="dxa" w:w="60"/>
              <w:right w:type="dxa" w:w="120"/>
            </w:tcMar>
            <w:vAlign w:val="center"/>
          </w:tcPr>
          <w:p>
            <w:r>
              <w:rPr>
                <w:b w:val="false"/>
                <w:bCs w:val="false"/>
                <w:sz w:val="19"/>
                <w:szCs w:val="19"/>
              </w:rPr>
              <w:t xml:space="preserve">DL classification (production distribution)</w:t>
            </w:r>
          </w:p>
        </w:tc>
        <w:tc>
          <w:tcPr>
            <w:tcW w:type="dxa" w:w="2600"/>
            <w:tcBorders>
              <w:top w:val="single" w:color="B0B7C3" w:sz="1"/>
              <w:left w:val="single" w:color="B0B7C3" w:sz="1"/>
              <w:bottom w:val="single" w:color="B0B7C3" w:sz="1"/>
              <w:right w:val="single" w:color="B0B7C3" w:sz="1"/>
            </w:tcBorders>
            <w:shd w:fill="F8FAFC" w:val="clear"/>
            <w:tcMar>
              <w:top w:type="dxa" w:w="60"/>
              <w:left w:type="dxa" w:w="120"/>
              <w:bottom w:type="dxa" w:w="60"/>
              <w:right w:type="dxa" w:w="120"/>
            </w:tcMar>
            <w:vAlign w:val="center"/>
          </w:tcPr>
          <w:p>
            <w:r>
              <w:rPr>
                <w:b w:val="false"/>
                <w:bCs w:val="false"/>
                <w:sz w:val="19"/>
                <w:szCs w:val="19"/>
              </w:rPr>
              <w:t xml:space="preserve">ConvNeXt-Tiny + 637 features (crop-mix fine-tune)</w:t>
            </w:r>
          </w:p>
        </w:tc>
        <w:tc>
          <w:tcPr>
            <w:tcW w:type="dxa" w:w="1900"/>
            <w:tcBorders>
              <w:top w:val="single" w:color="B0B7C3" w:sz="1"/>
              <w:left w:val="single" w:color="B0B7C3" w:sz="1"/>
              <w:bottom w:val="single" w:color="B0B7C3" w:sz="1"/>
              <w:right w:val="single" w:color="B0B7C3" w:sz="1"/>
            </w:tcBorders>
            <w:shd w:fill="F8FAFC" w:val="clear"/>
            <w:tcMar>
              <w:top w:type="dxa" w:w="60"/>
              <w:left w:type="dxa" w:w="120"/>
              <w:bottom w:type="dxa" w:w="60"/>
              <w:right w:type="dxa" w:w="120"/>
            </w:tcMar>
            <w:vAlign w:val="center"/>
          </w:tcPr>
          <w:p>
            <w:r>
              <w:rPr>
                <w:b w:val="false"/>
                <w:bCs w:val="false"/>
                <w:sz w:val="19"/>
                <w:szCs w:val="19"/>
              </w:rPr>
              <w:t xml:space="preserve">Accuracy</w:t>
            </w:r>
          </w:p>
        </w:tc>
        <w:tc>
          <w:tcPr>
            <w:tcW w:type="dxa" w:w="1760"/>
            <w:tcBorders>
              <w:top w:val="single" w:color="B0B7C3" w:sz="1"/>
              <w:left w:val="single" w:color="B0B7C3" w:sz="1"/>
              <w:bottom w:val="single" w:color="B0B7C3" w:sz="1"/>
              <w:right w:val="single" w:color="B0B7C3" w:sz="1"/>
            </w:tcBorders>
            <w:shd w:fill="F8FAFC" w:val="clear"/>
            <w:tcMar>
              <w:top w:type="dxa" w:w="60"/>
              <w:left w:type="dxa" w:w="120"/>
              <w:bottom w:type="dxa" w:w="60"/>
              <w:right w:type="dxa" w:w="120"/>
            </w:tcMar>
            <w:vAlign w:val="center"/>
          </w:tcPr>
          <w:p>
            <w:r>
              <w:rPr>
                <w:b w:val="false"/>
                <w:bCs w:val="false"/>
                <w:sz w:val="19"/>
                <w:szCs w:val="19"/>
              </w:rPr>
              <w:t xml:space="preserve">0.8888</w:t>
            </w:r>
          </w:p>
        </w:tc>
        <w:tc>
          <w:tcPr>
            <w:tcW w:type="dxa" w:w="1500"/>
            <w:tcBorders>
              <w:top w:val="single" w:color="B0B7C3" w:sz="1"/>
              <w:left w:val="single" w:color="B0B7C3" w:sz="1"/>
              <w:bottom w:val="single" w:color="B0B7C3" w:sz="1"/>
              <w:right w:val="single" w:color="B0B7C3" w:sz="1"/>
            </w:tcBorders>
            <w:shd w:fill="F8FAFC" w:val="clear"/>
            <w:tcMar>
              <w:top w:type="dxa" w:w="60"/>
              <w:left w:type="dxa" w:w="120"/>
              <w:bottom w:type="dxa" w:w="60"/>
              <w:right w:type="dxa" w:w="120"/>
            </w:tcMar>
            <w:vAlign w:val="center"/>
          </w:tcPr>
          <w:p>
            <w:r>
              <w:rPr>
                <w:b w:val="false"/>
                <w:bCs w:val="false"/>
                <w:sz w:val="19"/>
                <w:szCs w:val="19"/>
              </w:rPr>
              <w:t xml:space="preserve">Detector's own predicted crops</w:t>
            </w:r>
          </w:p>
        </w:tc>
      </w:tr>
      <w:tr>
        <w:tc>
          <w:tcPr>
            <w:tcW w:type="dxa" w:w="1600"/>
            <w:tcBorders>
              <w:top w:val="single" w:color="B0B7C3" w:sz="1"/>
              <w:left w:val="single" w:color="B0B7C3" w:sz="1"/>
              <w:bottom w:val="single" w:color="B0B7C3" w:sz="1"/>
              <w:right w:val="single" w:color="B0B7C3" w:sz="1"/>
            </w:tcBorders>
            <w:shd w:fill="FFFFFF" w:val="clear"/>
            <w:tcMar>
              <w:top w:type="dxa" w:w="60"/>
              <w:left w:type="dxa" w:w="120"/>
              <w:bottom w:type="dxa" w:w="60"/>
              <w:right w:type="dxa" w:w="120"/>
            </w:tcMar>
            <w:vAlign w:val="center"/>
          </w:tcPr>
          <w:p>
            <w:r>
              <w:rPr>
                <w:b w:val="false"/>
                <w:bCs w:val="false"/>
                <w:sz w:val="19"/>
                <w:szCs w:val="19"/>
              </w:rPr>
              <w:t xml:space="preserve">Detection</w:t>
            </w:r>
          </w:p>
        </w:tc>
        <w:tc>
          <w:tcPr>
            <w:tcW w:type="dxa" w:w="2600"/>
            <w:tcBorders>
              <w:top w:val="single" w:color="B0B7C3" w:sz="1"/>
              <w:left w:val="single" w:color="B0B7C3" w:sz="1"/>
              <w:bottom w:val="single" w:color="B0B7C3" w:sz="1"/>
              <w:right w:val="single" w:color="B0B7C3" w:sz="1"/>
            </w:tcBorders>
            <w:shd w:fill="FFFFFF" w:val="clear"/>
            <w:tcMar>
              <w:top w:type="dxa" w:w="60"/>
              <w:left w:type="dxa" w:w="120"/>
              <w:bottom w:type="dxa" w:w="60"/>
              <w:right w:type="dxa" w:w="120"/>
            </w:tcMar>
            <w:vAlign w:val="center"/>
          </w:tcPr>
          <w:p>
            <w:r>
              <w:rPr>
                <w:b w:val="false"/>
                <w:bCs w:val="false"/>
                <w:sz w:val="19"/>
                <w:szCs w:val="19"/>
              </w:rPr>
              <w:t xml:space="preserve">YOLO26n (100-epoch retrain)</w:t>
            </w:r>
          </w:p>
        </w:tc>
        <w:tc>
          <w:tcPr>
            <w:tcW w:type="dxa" w:w="1900"/>
            <w:tcBorders>
              <w:top w:val="single" w:color="B0B7C3" w:sz="1"/>
              <w:left w:val="single" w:color="B0B7C3" w:sz="1"/>
              <w:bottom w:val="single" w:color="B0B7C3" w:sz="1"/>
              <w:right w:val="single" w:color="B0B7C3" w:sz="1"/>
            </w:tcBorders>
            <w:shd w:fill="FFFFFF" w:val="clear"/>
            <w:tcMar>
              <w:top w:type="dxa" w:w="60"/>
              <w:left w:type="dxa" w:w="120"/>
              <w:bottom w:type="dxa" w:w="60"/>
              <w:right w:type="dxa" w:w="120"/>
            </w:tcMar>
            <w:vAlign w:val="center"/>
          </w:tcPr>
          <w:p>
            <w:r>
              <w:rPr>
                <w:b w:val="false"/>
                <w:bCs w:val="false"/>
                <w:sz w:val="19"/>
                <w:szCs w:val="19"/>
              </w:rPr>
              <w:t xml:space="preserve">Precision / Recall / mAP50</w:t>
            </w:r>
          </w:p>
        </w:tc>
        <w:tc>
          <w:tcPr>
            <w:tcW w:type="dxa" w:w="1760"/>
            <w:tcBorders>
              <w:top w:val="single" w:color="B0B7C3" w:sz="1"/>
              <w:left w:val="single" w:color="B0B7C3" w:sz="1"/>
              <w:bottom w:val="single" w:color="B0B7C3" w:sz="1"/>
              <w:right w:val="single" w:color="B0B7C3" w:sz="1"/>
            </w:tcBorders>
            <w:shd w:fill="FFFFFF" w:val="clear"/>
            <w:tcMar>
              <w:top w:type="dxa" w:w="60"/>
              <w:left w:type="dxa" w:w="120"/>
              <w:bottom w:type="dxa" w:w="60"/>
              <w:right w:type="dxa" w:w="120"/>
            </w:tcMar>
            <w:vAlign w:val="center"/>
          </w:tcPr>
          <w:p>
            <w:r>
              <w:rPr>
                <w:b w:val="false"/>
                <w:bCs w:val="false"/>
                <w:sz w:val="19"/>
                <w:szCs w:val="19"/>
              </w:rPr>
              <w:t xml:space="preserve">0.777 / 0.650 / 0.721</w:t>
            </w:r>
          </w:p>
        </w:tc>
        <w:tc>
          <w:tcPr>
            <w:tcW w:type="dxa" w:w="1500"/>
            <w:tcBorders>
              <w:top w:val="single" w:color="B0B7C3" w:sz="1"/>
              <w:left w:val="single" w:color="B0B7C3" w:sz="1"/>
              <w:bottom w:val="single" w:color="B0B7C3" w:sz="1"/>
              <w:right w:val="single" w:color="B0B7C3" w:sz="1"/>
            </w:tcBorders>
            <w:shd w:fill="FFFFFF" w:val="clear"/>
            <w:tcMar>
              <w:top w:type="dxa" w:w="60"/>
              <w:left w:type="dxa" w:w="120"/>
              <w:bottom w:type="dxa" w:w="60"/>
              <w:right w:type="dxa" w:w="120"/>
            </w:tcMar>
            <w:vAlign w:val="center"/>
          </w:tcPr>
          <w:p>
            <w:r>
              <w:rPr>
                <w:b w:val="false"/>
                <w:bCs w:val="false"/>
                <w:sz w:val="19"/>
                <w:szCs w:val="19"/>
              </w:rPr>
              <w:t xml:space="preserve">Clean validation split</w:t>
            </w:r>
          </w:p>
        </w:tc>
      </w:tr>
      <w:tr>
        <w:tc>
          <w:tcPr>
            <w:tcW w:type="dxa" w:w="1600"/>
            <w:tcBorders>
              <w:top w:val="single" w:color="B0B7C3" w:sz="1"/>
              <w:left w:val="single" w:color="B0B7C3" w:sz="1"/>
              <w:bottom w:val="single" w:color="B0B7C3" w:sz="1"/>
              <w:right w:val="single" w:color="B0B7C3" w:sz="1"/>
            </w:tcBorders>
            <w:shd w:fill="F8FAFC" w:val="clear"/>
            <w:tcMar>
              <w:top w:type="dxa" w:w="60"/>
              <w:left w:type="dxa" w:w="120"/>
              <w:bottom w:type="dxa" w:w="60"/>
              <w:right w:type="dxa" w:w="120"/>
            </w:tcMar>
            <w:vAlign w:val="center"/>
          </w:tcPr>
          <w:p>
            <w:r>
              <w:rPr>
                <w:b w:val="false"/>
                <w:bCs w:val="false"/>
                <w:sz w:val="19"/>
                <w:szCs w:val="19"/>
              </w:rPr>
              <w:t xml:space="preserve">Detection (unseen batches)</w:t>
            </w:r>
          </w:p>
        </w:tc>
        <w:tc>
          <w:tcPr>
            <w:tcW w:type="dxa" w:w="2600"/>
            <w:tcBorders>
              <w:top w:val="single" w:color="B0B7C3" w:sz="1"/>
              <w:left w:val="single" w:color="B0B7C3" w:sz="1"/>
              <w:bottom w:val="single" w:color="B0B7C3" w:sz="1"/>
              <w:right w:val="single" w:color="B0B7C3" w:sz="1"/>
            </w:tcBorders>
            <w:shd w:fill="F8FAFC" w:val="clear"/>
            <w:tcMar>
              <w:top w:type="dxa" w:w="60"/>
              <w:left w:type="dxa" w:w="120"/>
              <w:bottom w:type="dxa" w:w="60"/>
              <w:right w:type="dxa" w:w="120"/>
            </w:tcMar>
            <w:vAlign w:val="center"/>
          </w:tcPr>
          <w:p>
            <w:r>
              <w:rPr>
                <w:b w:val="false"/>
                <w:bCs w:val="false"/>
                <w:sz w:val="19"/>
                <w:szCs w:val="19"/>
              </w:rPr>
              <w:t xml:space="preserve">YOLO26n (100-epoch retrain)</w:t>
            </w:r>
          </w:p>
        </w:tc>
        <w:tc>
          <w:tcPr>
            <w:tcW w:type="dxa" w:w="1900"/>
            <w:tcBorders>
              <w:top w:val="single" w:color="B0B7C3" w:sz="1"/>
              <w:left w:val="single" w:color="B0B7C3" w:sz="1"/>
              <w:bottom w:val="single" w:color="B0B7C3" w:sz="1"/>
              <w:right w:val="single" w:color="B0B7C3" w:sz="1"/>
            </w:tcBorders>
            <w:shd w:fill="F8FAFC" w:val="clear"/>
            <w:tcMar>
              <w:top w:type="dxa" w:w="60"/>
              <w:left w:type="dxa" w:w="120"/>
              <w:bottom w:type="dxa" w:w="60"/>
              <w:right w:type="dxa" w:w="120"/>
            </w:tcMar>
            <w:vAlign w:val="center"/>
          </w:tcPr>
          <w:p>
            <w:r>
              <w:rPr>
                <w:b w:val="false"/>
                <w:bCs w:val="false"/>
                <w:sz w:val="19"/>
                <w:szCs w:val="19"/>
              </w:rPr>
              <w:t xml:space="preserve">mAP50</w:t>
            </w:r>
          </w:p>
        </w:tc>
        <w:tc>
          <w:tcPr>
            <w:tcW w:type="dxa" w:w="1760"/>
            <w:tcBorders>
              <w:top w:val="single" w:color="B0B7C3" w:sz="1"/>
              <w:left w:val="single" w:color="B0B7C3" w:sz="1"/>
              <w:bottom w:val="single" w:color="B0B7C3" w:sz="1"/>
              <w:right w:val="single" w:color="B0B7C3" w:sz="1"/>
            </w:tcBorders>
            <w:shd w:fill="F8FAFC" w:val="clear"/>
            <w:tcMar>
              <w:top w:type="dxa" w:w="60"/>
              <w:left w:type="dxa" w:w="120"/>
              <w:bottom w:type="dxa" w:w="60"/>
              <w:right w:type="dxa" w:w="120"/>
            </w:tcMar>
            <w:vAlign w:val="center"/>
          </w:tcPr>
          <w:p>
            <w:r>
              <w:rPr>
                <w:b w:val="false"/>
                <w:bCs w:val="false"/>
                <w:sz w:val="19"/>
                <w:szCs w:val="19"/>
              </w:rPr>
              <w:t xml:space="preserve">0.474</w:t>
            </w:r>
          </w:p>
        </w:tc>
        <w:tc>
          <w:tcPr>
            <w:tcW w:type="dxa" w:w="1500"/>
            <w:tcBorders>
              <w:top w:val="single" w:color="B0B7C3" w:sz="1"/>
              <w:left w:val="single" w:color="B0B7C3" w:sz="1"/>
              <w:bottom w:val="single" w:color="B0B7C3" w:sz="1"/>
              <w:right w:val="single" w:color="B0B7C3" w:sz="1"/>
            </w:tcBorders>
            <w:shd w:fill="F8FAFC" w:val="clear"/>
            <w:tcMar>
              <w:top w:type="dxa" w:w="60"/>
              <w:left w:type="dxa" w:w="120"/>
              <w:bottom w:type="dxa" w:w="60"/>
              <w:right w:type="dxa" w:w="120"/>
            </w:tcMar>
            <w:vAlign w:val="center"/>
          </w:tcPr>
          <w:p>
            <w:r>
              <w:rPr>
                <w:b w:val="false"/>
                <w:bCs w:val="false"/>
                <w:sz w:val="19"/>
                <w:szCs w:val="19"/>
              </w:rPr>
              <w:t xml:space="preserve">Clean, source-isolated test split</w:t>
            </w:r>
          </w:p>
        </w:tc>
      </w:tr>
      <w:tr>
        <w:tc>
          <w:tcPr>
            <w:tcW w:type="dxa" w:w="1600"/>
            <w:tcBorders>
              <w:top w:val="single" w:color="B0B7C3" w:sz="1"/>
              <w:left w:val="single" w:color="B0B7C3" w:sz="1"/>
              <w:bottom w:val="single" w:color="B0B7C3" w:sz="1"/>
              <w:right w:val="single" w:color="B0B7C3" w:sz="1"/>
            </w:tcBorders>
            <w:shd w:fill="FFFFFF" w:val="clear"/>
            <w:tcMar>
              <w:top w:type="dxa" w:w="60"/>
              <w:left w:type="dxa" w:w="120"/>
              <w:bottom w:type="dxa" w:w="60"/>
              <w:right w:type="dxa" w:w="120"/>
            </w:tcMar>
            <w:vAlign w:val="center"/>
          </w:tcPr>
          <w:p>
            <w:r>
              <w:rPr>
                <w:b w:val="false"/>
                <w:bCs w:val="false"/>
                <w:sz w:val="19"/>
                <w:szCs w:val="19"/>
              </w:rPr>
              <w:t xml:space="preserve">Localisation architecture comparison</w:t>
            </w:r>
          </w:p>
        </w:tc>
        <w:tc>
          <w:tcPr>
            <w:tcW w:type="dxa" w:w="2600"/>
            <w:tcBorders>
              <w:top w:val="single" w:color="B0B7C3" w:sz="1"/>
              <w:left w:val="single" w:color="B0B7C3" w:sz="1"/>
              <w:bottom w:val="single" w:color="B0B7C3" w:sz="1"/>
              <w:right w:val="single" w:color="B0B7C3" w:sz="1"/>
            </w:tcBorders>
            <w:shd w:fill="FFFFFF" w:val="clear"/>
            <w:tcMar>
              <w:top w:type="dxa" w:w="60"/>
              <w:left w:type="dxa" w:w="120"/>
              <w:bottom w:type="dxa" w:w="60"/>
              <w:right w:type="dxa" w:w="120"/>
            </w:tcMar>
            <w:vAlign w:val="center"/>
          </w:tcPr>
          <w:p>
            <w:r>
              <w:rPr>
                <w:b w:val="false"/>
                <w:bCs w:val="false"/>
                <w:sz w:val="19"/>
                <w:szCs w:val="19"/>
              </w:rPr>
              <w:t xml:space="preserve">YOLO (localiser-only), conf=0.30</w:t>
            </w:r>
          </w:p>
        </w:tc>
        <w:tc>
          <w:tcPr>
            <w:tcW w:type="dxa" w:w="1900"/>
            <w:tcBorders>
              <w:top w:val="single" w:color="B0B7C3" w:sz="1"/>
              <w:left w:val="single" w:color="B0B7C3" w:sz="1"/>
              <w:bottom w:val="single" w:color="B0B7C3" w:sz="1"/>
              <w:right w:val="single" w:color="B0B7C3" w:sz="1"/>
            </w:tcBorders>
            <w:shd w:fill="FFFFFF" w:val="clear"/>
            <w:tcMar>
              <w:top w:type="dxa" w:w="60"/>
              <w:left w:type="dxa" w:w="120"/>
              <w:bottom w:type="dxa" w:w="60"/>
              <w:right w:type="dxa" w:w="120"/>
            </w:tcMar>
            <w:vAlign w:val="center"/>
          </w:tcPr>
          <w:p>
            <w:r>
              <w:rPr>
                <w:b w:val="false"/>
                <w:bCs w:val="false"/>
                <w:sz w:val="19"/>
                <w:szCs w:val="19"/>
              </w:rPr>
              <w:t xml:space="preserve">Precision / Recall / IoU</w:t>
            </w:r>
          </w:p>
        </w:tc>
        <w:tc>
          <w:tcPr>
            <w:tcW w:type="dxa" w:w="1760"/>
            <w:tcBorders>
              <w:top w:val="single" w:color="B0B7C3" w:sz="1"/>
              <w:left w:val="single" w:color="B0B7C3" w:sz="1"/>
              <w:bottom w:val="single" w:color="B0B7C3" w:sz="1"/>
              <w:right w:val="single" w:color="B0B7C3" w:sz="1"/>
            </w:tcBorders>
            <w:shd w:fill="FFFFFF" w:val="clear"/>
            <w:tcMar>
              <w:top w:type="dxa" w:w="60"/>
              <w:left w:type="dxa" w:w="120"/>
              <w:bottom w:type="dxa" w:w="60"/>
              <w:right w:type="dxa" w:w="120"/>
            </w:tcMar>
            <w:vAlign w:val="center"/>
          </w:tcPr>
          <w:p>
            <w:r>
              <w:rPr>
                <w:b w:val="false"/>
                <w:bCs w:val="false"/>
                <w:sz w:val="19"/>
                <w:szCs w:val="19"/>
              </w:rPr>
              <w:t xml:space="preserve">0.6999 / 0.5729 / 0.9057</w:t>
            </w:r>
          </w:p>
        </w:tc>
        <w:tc>
          <w:tcPr>
            <w:tcW w:type="dxa" w:w="1500"/>
            <w:tcBorders>
              <w:top w:val="single" w:color="B0B7C3" w:sz="1"/>
              <w:left w:val="single" w:color="B0B7C3" w:sz="1"/>
              <w:bottom w:val="single" w:color="B0B7C3" w:sz="1"/>
              <w:right w:val="single" w:color="B0B7C3" w:sz="1"/>
            </w:tcBorders>
            <w:shd w:fill="FFFFFF" w:val="clear"/>
            <w:tcMar>
              <w:top w:type="dxa" w:w="60"/>
              <w:left w:type="dxa" w:w="120"/>
              <w:bottom w:type="dxa" w:w="60"/>
              <w:right w:type="dxa" w:w="120"/>
            </w:tcMar>
            <w:vAlign w:val="center"/>
          </w:tcPr>
          <w:p>
            <w:r>
              <w:rPr>
                <w:b w:val="false"/>
                <w:bCs w:val="false"/>
                <w:sz w:val="19"/>
                <w:szCs w:val="19"/>
              </w:rPr>
              <w:t xml:space="preserve">300-image stratified check vs. Grad-CAM baseline</w:t>
            </w:r>
          </w:p>
        </w:tc>
      </w:tr>
    </w:tbl>
    <w:p>
      <w:pPr>
        <w:spacing w:after="200"/>
      </w:pPr>
    </w:p>
    <w:p>
      <w:r>
        <w:br w:type="page"/>
      </w:r>
    </w:p>
    <w:p>
      <w:pPr>
        <w:pStyle w:val="Heading1"/>
      </w:pPr>
      <w:r>
        <w:t xml:space="preserve">Appendix B. Repository Structure and Reproduction Commands</w:t>
      </w:r>
    </w:p>
    <w:p>
      <w:pPr>
        <w:pStyle w:val="Heading2"/>
      </w:pPr>
      <w:r>
        <w:t xml:space="preserve">B.1 Repository Layout</w:t>
      </w:r>
    </w:p>
    <w:p>
      <w:pPr>
        <w:pStyle w:val="ListParagraph"/>
        <w:numPr>
          <w:ilvl w:val="0"/>
          <w:numId w:val="3"/>
        </w:numPr>
        <w:spacing w:after="80"/>
      </w:pPr>
      <w:r>
        <w:t xml:space="preserve">assets/ - curated images for demos and report evidence</w:t>
      </w:r>
    </w:p>
    <w:p>
      <w:pPr>
        <w:pStyle w:val="ListParagraph"/>
        <w:numPr>
          <w:ilvl w:val="0"/>
          <w:numId w:val="3"/>
        </w:numPr>
        <w:spacing w:after="80"/>
      </w:pPr>
      <w:r>
        <w:t xml:space="preserve">data/ - classification datasets (gitignored)</w:t>
      </w:r>
    </w:p>
    <w:p>
      <w:pPr>
        <w:pStyle w:val="ListParagraph"/>
        <w:numPr>
          <w:ilvl w:val="0"/>
          <w:numId w:val="3"/>
        </w:numPr>
        <w:spacing w:after="80"/>
      </w:pPr>
      <w:r>
        <w:t xml:space="preserve">docs/ - reports, failure log, dataset/training notes, lecturer notes</w:t>
      </w:r>
    </w:p>
    <w:p>
      <w:pPr>
        <w:pStyle w:val="ListParagraph"/>
        <w:numPr>
          <w:ilvl w:val="0"/>
          <w:numId w:val="3"/>
        </w:numPr>
        <w:spacing w:after="80"/>
      </w:pPr>
      <w:r>
        <w:t xml:space="preserve">external_datasets/ - YOLO-format detection datasets (gitignored)</w:t>
      </w:r>
    </w:p>
    <w:p>
      <w:pPr>
        <w:pStyle w:val="ListParagraph"/>
        <w:numPr>
          <w:ilvl w:val="0"/>
          <w:numId w:val="3"/>
        </w:numPr>
        <w:spacing w:after="80"/>
      </w:pPr>
      <w:r>
        <w:t xml:space="preserve">models/ - stable model artefacts for app/report use</w:t>
      </w:r>
    </w:p>
    <w:p>
      <w:pPr>
        <w:pStyle w:val="ListParagraph"/>
        <w:numPr>
          <w:ilvl w:val="0"/>
          <w:numId w:val="3"/>
        </w:numPr>
        <w:spacing w:after="80"/>
      </w:pPr>
      <w:r>
        <w:t xml:space="preserve">runs/ - experiment outputs, audits, and evidence artefacts (tracked in Git)</w:t>
      </w:r>
    </w:p>
    <w:p>
      <w:pPr>
        <w:pStyle w:val="ListParagraph"/>
        <w:numPr>
          <w:ilvl w:val="0"/>
          <w:numId w:val="3"/>
        </w:numPr>
        <w:spacing w:after="80"/>
      </w:pPr>
      <w:r>
        <w:t xml:space="preserve">scripts/ - training, evaluation, audit, and deployment scripts</w:t>
      </w:r>
    </w:p>
    <w:p>
      <w:pPr>
        <w:pStyle w:val="ListParagraph"/>
        <w:numPr>
          <w:ilvl w:val="0"/>
          <w:numId w:val="3"/>
        </w:numPr>
        <w:spacing w:after="80"/>
      </w:pPr>
      <w:r>
        <w:t xml:space="preserve">web/ - static frontend and Python model API (Hugging Face Space)</w:t>
      </w:r>
    </w:p>
    <w:p>
      <w:pPr>
        <w:pStyle w:val="Heading2"/>
      </w:pPr>
      <w:r>
        <w:t xml:space="preserve">B.2 Environment</w:t>
      </w:r>
    </w:p>
    <w:p>
      <w:pPr>
        <w:spacing w:after="160"/>
      </w:pPr>
      <w:r>
        <w:rPr>
          <w:rFonts w:ascii="Consolas" w:cs="Consolas" w:eastAsia="Consolas" w:hAnsi="Consolas"/>
          <w:sz w:val="19"/>
          <w:szCs w:val="19"/>
        </w:rPr>
        <w:t xml:space="preserve">python -m venv .venv311
.\.venv311\Scripts\Activate.ps1
pip install -r requirements.txt</w:t>
      </w:r>
    </w:p>
    <w:p>
      <w:pPr>
        <w:pStyle w:val="Heading2"/>
      </w:pPr>
      <w:r>
        <w:t xml:space="preserve">B.3 Key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B0B7C3" w:sz="1"/>
              <w:left w:val="single" w:color="B0B7C3" w:sz="1"/>
              <w:bottom w:val="single" w:color="B0B7C3" w:sz="1"/>
              <w:right w:val="single" w:color="B0B7C3" w:sz="1"/>
            </w:tcBorders>
            <w:shd w:fill="1F2937" w:val="clear"/>
            <w:tcMar>
              <w:top w:type="dxa" w:w="80"/>
              <w:left w:type="dxa" w:w="120"/>
              <w:bottom w:type="dxa" w:w="80"/>
              <w:right w:type="dxa" w:w="120"/>
            </w:tcMar>
            <w:vAlign w:val="center"/>
          </w:tcPr>
          <w:p>
            <w:r>
              <w:rPr>
                <w:b/>
                <w:bCs/>
                <w:color w:val="FFFFFF"/>
                <w:sz w:val="19"/>
                <w:szCs w:val="19"/>
              </w:rPr>
              <w:t xml:space="preserve">Purpose</w:t>
            </w:r>
          </w:p>
        </w:tc>
        <w:tc>
          <w:tcPr>
            <w:tcW w:type="dxa" w:w="5160"/>
            <w:tcBorders>
              <w:top w:val="single" w:color="B0B7C3" w:sz="1"/>
              <w:left w:val="single" w:color="B0B7C3" w:sz="1"/>
              <w:bottom w:val="single" w:color="B0B7C3" w:sz="1"/>
              <w:right w:val="single" w:color="B0B7C3" w:sz="1"/>
            </w:tcBorders>
            <w:shd w:fill="1F2937" w:val="clear"/>
            <w:tcMar>
              <w:top w:type="dxa" w:w="80"/>
              <w:left w:type="dxa" w:w="120"/>
              <w:bottom w:type="dxa" w:w="80"/>
              <w:right w:type="dxa" w:w="120"/>
            </w:tcMar>
            <w:vAlign w:val="center"/>
          </w:tcPr>
          <w:p>
            <w:r>
              <w:rPr>
                <w:b/>
                <w:bCs/>
                <w:color w:val="FFFFFF"/>
                <w:sz w:val="19"/>
                <w:szCs w:val="19"/>
              </w:rPr>
              <w:t xml:space="preserve">Script</w:t>
            </w:r>
          </w:p>
        </w:tc>
      </w:tr>
      <w:tr>
        <w:tc>
          <w:tcPr>
            <w:tcW w:type="dxa" w:w="4200"/>
            <w:tcBorders>
              <w:top w:val="single" w:color="B0B7C3" w:sz="1"/>
              <w:left w:val="single" w:color="B0B7C3" w:sz="1"/>
              <w:bottom w:val="single" w:color="B0B7C3" w:sz="1"/>
              <w:right w:val="single" w:color="B0B7C3" w:sz="1"/>
            </w:tcBorders>
            <w:shd w:fill="F8FAFC" w:val="clear"/>
            <w:tcMar>
              <w:top w:type="dxa" w:w="60"/>
              <w:left w:type="dxa" w:w="120"/>
              <w:bottom w:type="dxa" w:w="60"/>
              <w:right w:type="dxa" w:w="120"/>
            </w:tcMar>
            <w:vAlign w:val="center"/>
          </w:tcPr>
          <w:p>
            <w:r>
              <w:rPr>
                <w:b w:val="false"/>
                <w:bCs w:val="false"/>
                <w:sz w:val="19"/>
                <w:szCs w:val="19"/>
              </w:rPr>
              <w:t xml:space="preserve">Detector training (100-epoch, 640px)</w:t>
            </w:r>
          </w:p>
        </w:tc>
        <w:tc>
          <w:tcPr>
            <w:tcW w:type="dxa" w:w="5160"/>
            <w:tcBorders>
              <w:top w:val="single" w:color="B0B7C3" w:sz="1"/>
              <w:left w:val="single" w:color="B0B7C3" w:sz="1"/>
              <w:bottom w:val="single" w:color="B0B7C3" w:sz="1"/>
              <w:right w:val="single" w:color="B0B7C3" w:sz="1"/>
            </w:tcBorders>
            <w:shd w:fill="F8FAFC" w:val="clear"/>
            <w:tcMar>
              <w:top w:type="dxa" w:w="60"/>
              <w:left w:type="dxa" w:w="120"/>
              <w:bottom w:type="dxa" w:w="60"/>
              <w:right w:type="dxa" w:w="120"/>
            </w:tcMar>
            <w:vAlign w:val="center"/>
          </w:tcPr>
          <w:p>
            <w:r>
              <w:rPr>
                <w:b w:val="false"/>
                <w:bCs w:val="false"/>
                <w:sz w:val="19"/>
                <w:szCs w:val="19"/>
              </w:rPr>
              <w:t xml:space="preserve">scripts/train_hardcase_long.py</w:t>
            </w:r>
          </w:p>
        </w:tc>
      </w:tr>
      <w:tr>
        <w:tc>
          <w:tcPr>
            <w:tcW w:type="dxa" w:w="4200"/>
            <w:tcBorders>
              <w:top w:val="single" w:color="B0B7C3" w:sz="1"/>
              <w:left w:val="single" w:color="B0B7C3" w:sz="1"/>
              <w:bottom w:val="single" w:color="B0B7C3" w:sz="1"/>
              <w:right w:val="single" w:color="B0B7C3" w:sz="1"/>
            </w:tcBorders>
            <w:shd w:fill="FFFFFF" w:val="clear"/>
            <w:tcMar>
              <w:top w:type="dxa" w:w="60"/>
              <w:left w:type="dxa" w:w="120"/>
              <w:bottom w:type="dxa" w:w="60"/>
              <w:right w:type="dxa" w:w="120"/>
            </w:tcMar>
            <w:vAlign w:val="center"/>
          </w:tcPr>
          <w:p>
            <w:r>
              <w:rPr>
                <w:b w:val="false"/>
                <w:bCs w:val="false"/>
                <w:sz w:val="19"/>
                <w:szCs w:val="19"/>
              </w:rPr>
              <w:t xml:space="preserve">Leakage / bias / label-noise audit</w:t>
            </w:r>
          </w:p>
        </w:tc>
        <w:tc>
          <w:tcPr>
            <w:tcW w:type="dxa" w:w="5160"/>
            <w:tcBorders>
              <w:top w:val="single" w:color="B0B7C3" w:sz="1"/>
              <w:left w:val="single" w:color="B0B7C3" w:sz="1"/>
              <w:bottom w:val="single" w:color="B0B7C3" w:sz="1"/>
              <w:right w:val="single" w:color="B0B7C3" w:sz="1"/>
            </w:tcBorders>
            <w:shd w:fill="FFFFFF" w:val="clear"/>
            <w:tcMar>
              <w:top w:type="dxa" w:w="60"/>
              <w:left w:type="dxa" w:w="120"/>
              <w:bottom w:type="dxa" w:w="60"/>
              <w:right w:type="dxa" w:w="120"/>
            </w:tcMar>
            <w:vAlign w:val="center"/>
          </w:tcPr>
          <w:p>
            <w:r>
              <w:rPr>
                <w:b w:val="false"/>
                <w:bCs w:val="false"/>
                <w:sz w:val="19"/>
                <w:szCs w:val="19"/>
              </w:rPr>
              <w:t xml:space="preserve">scripts/audit_model_risks.py</w:t>
            </w:r>
          </w:p>
        </w:tc>
      </w:tr>
      <w:tr>
        <w:tc>
          <w:tcPr>
            <w:tcW w:type="dxa" w:w="4200"/>
            <w:tcBorders>
              <w:top w:val="single" w:color="B0B7C3" w:sz="1"/>
              <w:left w:val="single" w:color="B0B7C3" w:sz="1"/>
              <w:bottom w:val="single" w:color="B0B7C3" w:sz="1"/>
              <w:right w:val="single" w:color="B0B7C3" w:sz="1"/>
            </w:tcBorders>
            <w:shd w:fill="F8FAFC" w:val="clear"/>
            <w:tcMar>
              <w:top w:type="dxa" w:w="60"/>
              <w:left w:type="dxa" w:w="120"/>
              <w:bottom w:type="dxa" w:w="60"/>
              <w:right w:type="dxa" w:w="120"/>
            </w:tcMar>
            <w:vAlign w:val="center"/>
          </w:tcPr>
          <w:p>
            <w:r>
              <w:rPr>
                <w:b w:val="false"/>
                <w:bCs w:val="false"/>
                <w:sz w:val="19"/>
                <w:szCs w:val="19"/>
              </w:rPr>
              <w:t xml:space="preserve">Build quarantined clean eval splits</w:t>
            </w:r>
          </w:p>
        </w:tc>
        <w:tc>
          <w:tcPr>
            <w:tcW w:type="dxa" w:w="5160"/>
            <w:tcBorders>
              <w:top w:val="single" w:color="B0B7C3" w:sz="1"/>
              <w:left w:val="single" w:color="B0B7C3" w:sz="1"/>
              <w:bottom w:val="single" w:color="B0B7C3" w:sz="1"/>
              <w:right w:val="single" w:color="B0B7C3" w:sz="1"/>
            </w:tcBorders>
            <w:shd w:fill="F8FAFC" w:val="clear"/>
            <w:tcMar>
              <w:top w:type="dxa" w:w="60"/>
              <w:left w:type="dxa" w:w="120"/>
              <w:bottom w:type="dxa" w:w="60"/>
              <w:right w:type="dxa" w:w="120"/>
            </w:tcMar>
            <w:vAlign w:val="center"/>
          </w:tcPr>
          <w:p>
            <w:r>
              <w:rPr>
                <w:b w:val="false"/>
                <w:bCs w:val="false"/>
                <w:sz w:val="19"/>
                <w:szCs w:val="19"/>
              </w:rPr>
              <w:t xml:space="preserve">scripts/build_clean_eval_splits.py</w:t>
            </w:r>
          </w:p>
        </w:tc>
      </w:tr>
      <w:tr>
        <w:tc>
          <w:tcPr>
            <w:tcW w:type="dxa" w:w="4200"/>
            <w:tcBorders>
              <w:top w:val="single" w:color="B0B7C3" w:sz="1"/>
              <w:left w:val="single" w:color="B0B7C3" w:sz="1"/>
              <w:bottom w:val="single" w:color="B0B7C3" w:sz="1"/>
              <w:right w:val="single" w:color="B0B7C3" w:sz="1"/>
            </w:tcBorders>
            <w:shd w:fill="FFFFFF" w:val="clear"/>
            <w:tcMar>
              <w:top w:type="dxa" w:w="60"/>
              <w:left w:type="dxa" w:w="120"/>
              <w:bottom w:type="dxa" w:w="60"/>
              <w:right w:type="dxa" w:w="120"/>
            </w:tcMar>
            <w:vAlign w:val="center"/>
          </w:tcPr>
          <w:p>
            <w:r>
              <w:rPr>
                <w:b w:val="false"/>
                <w:bCs w:val="false"/>
                <w:sz w:val="19"/>
                <w:szCs w:val="19"/>
              </w:rPr>
              <w:t xml:space="preserve">Clean-split detector validation</w:t>
            </w:r>
          </w:p>
        </w:tc>
        <w:tc>
          <w:tcPr>
            <w:tcW w:type="dxa" w:w="5160"/>
            <w:tcBorders>
              <w:top w:val="single" w:color="B0B7C3" w:sz="1"/>
              <w:left w:val="single" w:color="B0B7C3" w:sz="1"/>
              <w:bottom w:val="single" w:color="B0B7C3" w:sz="1"/>
              <w:right w:val="single" w:color="B0B7C3" w:sz="1"/>
            </w:tcBorders>
            <w:shd w:fill="FFFFFF" w:val="clear"/>
            <w:tcMar>
              <w:top w:type="dxa" w:w="60"/>
              <w:left w:type="dxa" w:w="120"/>
              <w:bottom w:type="dxa" w:w="60"/>
              <w:right w:type="dxa" w:w="120"/>
            </w:tcMar>
            <w:vAlign w:val="center"/>
          </w:tcPr>
          <w:p>
            <w:r>
              <w:rPr>
                <w:b w:val="false"/>
                <w:bCs w:val="false"/>
                <w:sz w:val="19"/>
                <w:szCs w:val="19"/>
              </w:rPr>
              <w:t xml:space="preserve">scripts/validate_detector_clean.py</w:t>
            </w:r>
          </w:p>
        </w:tc>
      </w:tr>
      <w:tr>
        <w:tc>
          <w:tcPr>
            <w:tcW w:type="dxa" w:w="4200"/>
            <w:tcBorders>
              <w:top w:val="single" w:color="B0B7C3" w:sz="1"/>
              <w:left w:val="single" w:color="B0B7C3" w:sz="1"/>
              <w:bottom w:val="single" w:color="B0B7C3" w:sz="1"/>
              <w:right w:val="single" w:color="B0B7C3" w:sz="1"/>
            </w:tcBorders>
            <w:shd w:fill="F8FAFC" w:val="clear"/>
            <w:tcMar>
              <w:top w:type="dxa" w:w="60"/>
              <w:left w:type="dxa" w:w="120"/>
              <w:bottom w:type="dxa" w:w="60"/>
              <w:right w:type="dxa" w:w="120"/>
            </w:tcMar>
            <w:vAlign w:val="center"/>
          </w:tcPr>
          <w:p>
            <w:r>
              <w:rPr>
                <w:b w:val="false"/>
                <w:bCs w:val="false"/>
                <w:sz w:val="19"/>
                <w:szCs w:val="19"/>
              </w:rPr>
              <w:t xml:space="preserve">Stage 2 fine-tune with promote gate</w:t>
            </w:r>
          </w:p>
        </w:tc>
        <w:tc>
          <w:tcPr>
            <w:tcW w:type="dxa" w:w="5160"/>
            <w:tcBorders>
              <w:top w:val="single" w:color="B0B7C3" w:sz="1"/>
              <w:left w:val="single" w:color="B0B7C3" w:sz="1"/>
              <w:bottom w:val="single" w:color="B0B7C3" w:sz="1"/>
              <w:right w:val="single" w:color="B0B7C3" w:sz="1"/>
            </w:tcBorders>
            <w:shd w:fill="F8FAFC" w:val="clear"/>
            <w:tcMar>
              <w:top w:type="dxa" w:w="60"/>
              <w:left w:type="dxa" w:w="120"/>
              <w:bottom w:type="dxa" w:w="60"/>
              <w:right w:type="dxa" w:w="120"/>
            </w:tcMar>
            <w:vAlign w:val="center"/>
          </w:tcPr>
          <w:p>
            <w:r>
              <w:rPr>
                <w:b w:val="false"/>
                <w:bCs w:val="false"/>
                <w:sz w:val="19"/>
                <w:szCs w:val="19"/>
              </w:rPr>
              <w:t xml:space="preserve">scripts/finetune_stage2_on_detector_crops.py</w:t>
            </w:r>
          </w:p>
        </w:tc>
      </w:tr>
      <w:tr>
        <w:tc>
          <w:tcPr>
            <w:tcW w:type="dxa" w:w="4200"/>
            <w:tcBorders>
              <w:top w:val="single" w:color="B0B7C3" w:sz="1"/>
              <w:left w:val="single" w:color="B0B7C3" w:sz="1"/>
              <w:bottom w:val="single" w:color="B0B7C3" w:sz="1"/>
              <w:right w:val="single" w:color="B0B7C3" w:sz="1"/>
            </w:tcBorders>
            <w:shd w:fill="FFFFFF" w:val="clear"/>
            <w:tcMar>
              <w:top w:type="dxa" w:w="60"/>
              <w:left w:type="dxa" w:w="120"/>
              <w:bottom w:type="dxa" w:w="60"/>
              <w:right w:type="dxa" w:w="120"/>
            </w:tcMar>
            <w:vAlign w:val="center"/>
          </w:tcPr>
          <w:p>
            <w:r>
              <w:rPr>
                <w:b w:val="false"/>
                <w:bCs w:val="false"/>
                <w:sz w:val="19"/>
                <w:szCs w:val="19"/>
              </w:rPr>
              <w:t xml:space="preserve">Confidence threshold sweep</w:t>
            </w:r>
          </w:p>
        </w:tc>
        <w:tc>
          <w:tcPr>
            <w:tcW w:type="dxa" w:w="5160"/>
            <w:tcBorders>
              <w:top w:val="single" w:color="B0B7C3" w:sz="1"/>
              <w:left w:val="single" w:color="B0B7C3" w:sz="1"/>
              <w:bottom w:val="single" w:color="B0B7C3" w:sz="1"/>
              <w:right w:val="single" w:color="B0B7C3" w:sz="1"/>
            </w:tcBorders>
            <w:shd w:fill="FFFFFF" w:val="clear"/>
            <w:tcMar>
              <w:top w:type="dxa" w:w="60"/>
              <w:left w:type="dxa" w:w="120"/>
              <w:bottom w:type="dxa" w:w="60"/>
              <w:right w:type="dxa" w:w="120"/>
            </w:tcMar>
            <w:vAlign w:val="center"/>
          </w:tcPr>
          <w:p>
            <w:r>
              <w:rPr>
                <w:b w:val="false"/>
                <w:bCs w:val="false"/>
                <w:sz w:val="19"/>
                <w:szCs w:val="19"/>
              </w:rPr>
              <w:t xml:space="preserve">scripts/yolo_precision_threshold_sweep.py</w:t>
            </w:r>
          </w:p>
        </w:tc>
      </w:tr>
      <w:tr>
        <w:tc>
          <w:tcPr>
            <w:tcW w:type="dxa" w:w="4200"/>
            <w:tcBorders>
              <w:top w:val="single" w:color="B0B7C3" w:sz="1"/>
              <w:left w:val="single" w:color="B0B7C3" w:sz="1"/>
              <w:bottom w:val="single" w:color="B0B7C3" w:sz="1"/>
              <w:right w:val="single" w:color="B0B7C3" w:sz="1"/>
            </w:tcBorders>
            <w:shd w:fill="F8FAFC" w:val="clear"/>
            <w:tcMar>
              <w:top w:type="dxa" w:w="60"/>
              <w:left w:type="dxa" w:w="120"/>
              <w:bottom w:type="dxa" w:w="60"/>
              <w:right w:type="dxa" w:w="120"/>
            </w:tcMar>
            <w:vAlign w:val="center"/>
          </w:tcPr>
          <w:p>
            <w:r>
              <w:rPr>
                <w:b w:val="false"/>
                <w:bCs w:val="false"/>
                <w:sz w:val="19"/>
                <w:szCs w:val="19"/>
              </w:rPr>
              <w:t xml:space="preserve">Cross-domain generalisation study</w:t>
            </w:r>
          </w:p>
        </w:tc>
        <w:tc>
          <w:tcPr>
            <w:tcW w:type="dxa" w:w="5160"/>
            <w:tcBorders>
              <w:top w:val="single" w:color="B0B7C3" w:sz="1"/>
              <w:left w:val="single" w:color="B0B7C3" w:sz="1"/>
              <w:bottom w:val="single" w:color="B0B7C3" w:sz="1"/>
              <w:right w:val="single" w:color="B0B7C3" w:sz="1"/>
            </w:tcBorders>
            <w:shd w:fill="F8FAFC" w:val="clear"/>
            <w:tcMar>
              <w:top w:type="dxa" w:w="60"/>
              <w:left w:type="dxa" w:w="120"/>
              <w:bottom w:type="dxa" w:w="60"/>
              <w:right w:type="dxa" w:w="120"/>
            </w:tcMar>
            <w:vAlign w:val="center"/>
          </w:tcPr>
          <w:p>
            <w:r>
              <w:rPr>
                <w:b w:val="false"/>
                <w:bCs w:val="false"/>
                <w:sz w:val="19"/>
                <w:szCs w:val="19"/>
              </w:rPr>
              <w:t xml:space="preserve">scripts/cross_dataset_validation.py</w:t>
            </w:r>
          </w:p>
        </w:tc>
      </w:tr>
      <w:tr>
        <w:tc>
          <w:tcPr>
            <w:tcW w:type="dxa" w:w="4200"/>
            <w:tcBorders>
              <w:top w:val="single" w:color="B0B7C3" w:sz="1"/>
              <w:left w:val="single" w:color="B0B7C3" w:sz="1"/>
              <w:bottom w:val="single" w:color="B0B7C3" w:sz="1"/>
              <w:right w:val="single" w:color="B0B7C3" w:sz="1"/>
            </w:tcBorders>
            <w:shd w:fill="FFFFFF" w:val="clear"/>
            <w:tcMar>
              <w:top w:type="dxa" w:w="60"/>
              <w:left w:type="dxa" w:w="120"/>
              <w:bottom w:type="dxa" w:w="60"/>
              <w:right w:type="dxa" w:w="120"/>
            </w:tcMar>
            <w:vAlign w:val="center"/>
          </w:tcPr>
          <w:p>
            <w:r>
              <w:rPr>
                <w:b w:val="false"/>
                <w:bCs w:val="false"/>
                <w:sz w:val="19"/>
                <w:szCs w:val="19"/>
              </w:rPr>
              <w:t xml:space="preserve">PCA feature-compression sweep</w:t>
            </w:r>
          </w:p>
        </w:tc>
        <w:tc>
          <w:tcPr>
            <w:tcW w:type="dxa" w:w="5160"/>
            <w:tcBorders>
              <w:top w:val="single" w:color="B0B7C3" w:sz="1"/>
              <w:left w:val="single" w:color="B0B7C3" w:sz="1"/>
              <w:bottom w:val="single" w:color="B0B7C3" w:sz="1"/>
              <w:right w:val="single" w:color="B0B7C3" w:sz="1"/>
            </w:tcBorders>
            <w:shd w:fill="FFFFFF" w:val="clear"/>
            <w:tcMar>
              <w:top w:type="dxa" w:w="60"/>
              <w:left w:type="dxa" w:w="120"/>
              <w:bottom w:type="dxa" w:w="60"/>
              <w:right w:type="dxa" w:w="120"/>
            </w:tcMar>
            <w:vAlign w:val="center"/>
          </w:tcPr>
          <w:p>
            <w:r>
              <w:rPr>
                <w:b w:val="false"/>
                <w:bCs w:val="false"/>
                <w:sz w:val="19"/>
                <w:szCs w:val="19"/>
              </w:rPr>
              <w:t xml:space="preserve">scripts/pca_feature_model_sweep.py</w:t>
            </w:r>
          </w:p>
        </w:tc>
      </w:tr>
      <w:tr>
        <w:tc>
          <w:tcPr>
            <w:tcW w:type="dxa" w:w="4200"/>
            <w:tcBorders>
              <w:top w:val="single" w:color="B0B7C3" w:sz="1"/>
              <w:left w:val="single" w:color="B0B7C3" w:sz="1"/>
              <w:bottom w:val="single" w:color="B0B7C3" w:sz="1"/>
              <w:right w:val="single" w:color="B0B7C3" w:sz="1"/>
            </w:tcBorders>
            <w:shd w:fill="F8FAFC" w:val="clear"/>
            <w:tcMar>
              <w:top w:type="dxa" w:w="60"/>
              <w:left w:type="dxa" w:w="120"/>
              <w:bottom w:type="dxa" w:w="60"/>
              <w:right w:type="dxa" w:w="120"/>
            </w:tcMar>
            <w:vAlign w:val="center"/>
          </w:tcPr>
          <w:p>
            <w:r>
              <w:rPr>
                <w:b w:val="false"/>
                <w:bCs w:val="false"/>
                <w:sz w:val="19"/>
                <w:szCs w:val="19"/>
              </w:rPr>
              <w:t xml:space="preserve">Deploy web app + models to Hugging Face Space</w:t>
            </w:r>
          </w:p>
        </w:tc>
        <w:tc>
          <w:tcPr>
            <w:tcW w:type="dxa" w:w="5160"/>
            <w:tcBorders>
              <w:top w:val="single" w:color="B0B7C3" w:sz="1"/>
              <w:left w:val="single" w:color="B0B7C3" w:sz="1"/>
              <w:bottom w:val="single" w:color="B0B7C3" w:sz="1"/>
              <w:right w:val="single" w:color="B0B7C3" w:sz="1"/>
            </w:tcBorders>
            <w:shd w:fill="F8FAFC" w:val="clear"/>
            <w:tcMar>
              <w:top w:type="dxa" w:w="60"/>
              <w:left w:type="dxa" w:w="120"/>
              <w:bottom w:type="dxa" w:w="60"/>
              <w:right w:type="dxa" w:w="120"/>
            </w:tcMar>
            <w:vAlign w:val="center"/>
          </w:tcPr>
          <w:p>
            <w:r>
              <w:rPr>
                <w:b w:val="false"/>
                <w:bCs w:val="false"/>
                <w:sz w:val="19"/>
                <w:szCs w:val="19"/>
              </w:rPr>
              <w:t xml:space="preserve">scripts/deploy_hf_space.py</w:t>
            </w:r>
          </w:p>
        </w:tc>
      </w:tr>
    </w:tbl>
    <w:p>
      <w:pPr>
        <w:spacing w:after="200"/>
      </w:pPr>
    </w:p>
    <w:p>
      <w:pPr>
        <w:spacing w:before="300"/>
      </w:pPr>
      <w:r>
        <w:rPr>
          <w:i/>
          <w:iCs/>
          <w:sz w:val="20"/>
          <w:szCs w:val="20"/>
        </w:rPr>
        <w:t xml:space="preserve">Repository: github.com/khoaph0712/Final-Year-Project-PDK   |   Live demo: khoaphung-wastewise-ai.hf.space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Page </w:t>
    </w: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WasteWise Final Year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Calibri" w:cs="Calibri" w:eastAsia="Calibri" w:hAnsi="Calibri"/>
      <w:b/>
      <w:bCs/>
      <w:color w:val="1F2937"/>
      <w:sz w:val="32"/>
      <w:szCs w:val="32"/>
    </w:rPr>
  </w:style>
  <w:style w:type="paragraph" w:styleId="Heading2">
    <w:name w:val="Heading 2"/>
    <w:basedOn w:val="Normal"/>
    <w:next w:val="Normal"/>
    <w:qFormat/>
    <w:pPr>
      <w:spacing w:after="160" w:before="280"/>
      <w:outlineLvl w:val="1"/>
    </w:pPr>
    <w:rPr>
      <w:rFonts w:ascii="Calibri" w:cs="Calibri" w:eastAsia="Calibri" w:hAnsi="Calibri"/>
      <w:b/>
      <w:bCs/>
      <w:color w:val="1F2937"/>
      <w:sz w:val="26"/>
      <w:szCs w:val="26"/>
    </w:rPr>
  </w:style>
  <w:style w:type="paragraph" w:styleId="Heading3">
    <w:name w:val="Heading 3"/>
    <w:basedOn w:val="Normal"/>
    <w:next w:val="Normal"/>
    <w:qFormat/>
    <w:pPr>
      <w:spacing w:after="120" w:before="200"/>
      <w:outlineLvl w:val="2"/>
    </w:pPr>
    <w:rPr>
      <w:rFonts w:ascii="Calibri" w:cs="Calibri" w:eastAsia="Calibri" w:hAnsi="Calibri"/>
      <w:b/>
      <w:bCs/>
      <w:i/>
      <w:iCs/>
      <w:color w:val="374151"/>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a0415c3d0e02955895cfd7619c073a7ae0ae3cd.png"/><Relationship Id="rId10" Type="http://schemas.openxmlformats.org/officeDocument/2006/relationships/image" Target="media/d560094f763582a23904024f4054bb914bc27258.png"/><Relationship Id="rId11" Type="http://schemas.openxmlformats.org/officeDocument/2006/relationships/image" Target="media/79ce425dccbec63e2583ac071336f095b9ff47b8.png"/><Relationship Id="rId12" Type="http://schemas.openxmlformats.org/officeDocument/2006/relationships/image" Target="media/492bef3102a24b9ff7200072c5abec7c3e9873bb.png"/><Relationship Id="rId13" Type="http://schemas.openxmlformats.org/officeDocument/2006/relationships/image" Target="media/efdda5a6a55ec68891c5f8e66cb437f586076614.png"/><Relationship Id="rId14" Type="http://schemas.openxmlformats.org/officeDocument/2006/relationships/image" Target="media/3908546592182f7d8c0eb9e414bef7da2966f6b5.png"/><Relationship Id="rId15" Type="http://schemas.openxmlformats.org/officeDocument/2006/relationships/image" Target="media/0df38b24c77105cd38d63890cd05a516e70a5793.png"/><Relationship Id="rId16" Type="http://schemas.openxmlformats.org/officeDocument/2006/relationships/image" Target="media/750ab9cff9510f4eb27e43228a5520bc6c3f15bf.png"/><Relationship Id="rId17" Type="http://schemas.openxmlformats.org/officeDocument/2006/relationships/image" Target="media/a593ebebdf4c4847889bdbae541e991f8d5a5f4e.png"/><Relationship Id="rId18" Type="http://schemas.openxmlformats.org/officeDocument/2006/relationships/image" Target="media/213b438bffd40651341ce48b16bdaefa199b2ca0.png"/><Relationship Id="rId19" Type="http://schemas.openxmlformats.org/officeDocument/2006/relationships/image" Target="media/e81356e04d142c161ffd4631351bf19bd532c485.png"/><Relationship Id="rId20" Type="http://schemas.openxmlformats.org/officeDocument/2006/relationships/image" Target="media/eeff1904fe06a6750adc7383510d1e2af3a6112e.png"/><Relationship Id="rId21" Type="http://schemas.openxmlformats.org/officeDocument/2006/relationships/image" Target="media/b20b7e71eddd384f40225011e8ef166b5f736400.png"/><Relationship Id="rId22" Type="http://schemas.openxmlformats.org/officeDocument/2006/relationships/image" Target="media/210f6eb5e95ab29b7053e166e072f5a2c287410b.png"/><Relationship Id="rId23" Type="http://schemas.openxmlformats.org/officeDocument/2006/relationships/image" Target="media/93604f218c9c795ab3c06e5c82a2b0cf3e865d4d.png"/><Relationship Id="rId24" Type="http://schemas.openxmlformats.org/officeDocument/2006/relationships/image" Target="media/64cfdc0eef399ee1afc1a175ba898ae6a96d3b06.png"/><Relationship Id="rId25" Type="http://schemas.openxmlformats.org/officeDocument/2006/relationships/image" Target="media/fa3546ac2db2dd7c41b2a4d7b3934b252d46bc71.png"/><Relationship Id="rId26" Type="http://schemas.openxmlformats.org/officeDocument/2006/relationships/image" Target="media/8c96299bfdfbd1dec31efe0e383a78ed0af62a4b.png"/><Relationship Id="rId27" Type="http://schemas.openxmlformats.org/officeDocument/2006/relationships/image" Target="media/fff88bbb643019048a3c250d0cfefe816fdaf09b.png"/><Relationship Id="rId28" Type="http://schemas.openxmlformats.org/officeDocument/2006/relationships/image" Target="media/187baf3dccaae64eacb5897bdaf86bae04536cfd.png"/><Relationship Id="rId2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2026-07-07T07:32:12.902Z</dcterms:created>
  <dcterms:modified xsi:type="dcterms:W3CDTF">2026-07-07T07:32:12.902Z</dcterms:modified>
</cp:coreProperties>
</file>

<file path=docProps/custom.xml><?xml version="1.0" encoding="utf-8"?>
<Properties xmlns="http://schemas.openxmlformats.org/officeDocument/2006/custom-properties" xmlns:vt="http://schemas.openxmlformats.org/officeDocument/2006/docPropsVTypes"/>
</file>