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WasteWise — Final Model Results</w:t>
      </w:r>
    </w:p>
    <w:p>
      <w:pPr>
        <w:spacing w:after="60"/>
      </w:pPr>
      <w:r>
        <w:rPr>
          <w:i/>
          <w:iCs/>
          <w:color w:val="555555"/>
          <w:sz w:val="22"/>
          <w:szCs w:val="22"/>
        </w:rPr>
        <w:t xml:space="preserve">Visual results pack for lecturer review and sign-off, before the final report is locked</w:t>
      </w:r>
    </w:p>
    <w:p>
      <w:pPr>
        <w:pBdr>
          <w:bottom w:val="single" w:color="2E5B4F" w:sz="6" w:space="4"/>
        </w:pBdr>
        <w:spacing w:after="240"/>
      </w:pPr>
      <w:r>
        <w:rPr>
          <w:color w:val="555555"/>
          <w:sz w:val="20"/>
          <w:szCs w:val="20"/>
        </w:rPr>
        <w:t xml:space="preserve">Student: Khoa Phung — July 2, 2026</w:t>
      </w:r>
    </w:p>
    <w:p>
      <w:pPr>
        <w:spacing w:after="160" w:line="300"/>
        <w:jc w:val="both"/>
      </w:pPr>
      <w:r>
        <w:t xml:space="preserve">Every number and chart below is frozen from a saved run artifact in the repository (evidence path given per section). Items marked </w:t>
      </w:r>
      <w:r>
        <w:rPr>
          <w:b/>
          <w:bCs/>
        </w:rPr>
        <w:t xml:space="preserve">DECISION</w:t>
      </w:r>
      <w:r>
        <w:t xml:space="preserve"> need your approval; everything else is proposed as final.</w:t>
      </w:r>
    </w:p>
    <w:p>
      <w:pPr>
        <w:pStyle w:val="Heading2"/>
      </w:pPr>
      <w:r>
        <w:t xml:space="preserve">1. Data and EDA snapshot</w:t>
      </w:r>
    </w:p>
    <w:p>
      <w:pPr>
        <w:spacing w:after="160" w:line="300"/>
        <w:jc w:val="both"/>
      </w:pPr>
      <w:r>
        <w:t xml:space="preserve">The final models are trained on the audited dataset generation: </w:t>
      </w:r>
      <w:r>
        <w:rPr>
          <w:b/>
          <w:bCs/>
        </w:rPr>
        <w:t xml:space="preserve">merged_dataset_v5</w:t>
      </w:r>
      <w:r>
        <w:t xml:space="preserve"> (29,639 balanced crops, 7 classes incl. Background) for classification, </w:t>
      </w:r>
      <w:r>
        <w:rPr>
          <w:b/>
          <w:bCs/>
        </w:rPr>
        <w:t xml:space="preserve">super_yolo_dataset</w:t>
      </w:r>
      <w:r>
        <w:t xml:space="preserve"> (23,929 images, 102,777 boxes, 6 classes) for localization, plus hard-case sets (12,600 balanced hard-case train crops; 3,301 gate train images). They exist because the EDA below exposed what was wrong with the raw merge: 7,460 invalid label rows, 5,862 duplicate images, tiny-box noise, and glass having only 200 test boxes.</w:t>
      </w:r>
    </w:p>
    <w:p>
      <w:pPr>
        <w:spacing w:after="60" w:before="120"/>
        <w:jc w:val="center"/>
      </w:pPr>
      <w:r>
        <w:drawing>
          <wp:inline distT="0" distB="0" distL="0" distR="0">
            <wp:extent cx="5305425" cy="2647950"/>
            <wp:effectExtent t="0" r="0" b="0" l="0"/>
            <wp:docPr id="1" name="fig1" descr="EDA — raw class balance of the merged baseline across train/valid/test. Organic and cardboard dominate; glass test support is nearly absent. This chart triggered the tuned rebuild." title="EDA — raw class balance of the merged baseline across train/valid/test. Organic and cardboard dominate; glass test support is nearly absent. This chart triggered the tuned rebuil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1. EDA — raw class balance of the merged baseline across train/valid/test. Organic and cardboard dominate; glass test support is nearly absent. This chart triggered the tuned rebuild.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fig2" descr="EDA — bounding-box area histogram. The long tail of tiny boxes (&lt; 10 px / &lt; 0.0002 relative area) was filtered out: 1,537 boxes dropped." title="EDA — bounding-box area histogram. The long tail of tiny boxes (&lt; 10 px / &lt; 0.0002 relative area) was filtered out: 1,537 boxes dropp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2. EDA — bounding-box area histogram. The long tail of tiny boxes (&lt; 10 px / &lt; 0.0002 relative area) was filtered out: 1,537 boxes dropped.</w:t>
      </w:r>
    </w:p>
    <w:p>
      <w:pPr>
        <w:spacing w:after="60" w:before="120"/>
        <w:jc w:val="center"/>
      </w:pPr>
      <w:r>
        <w:drawing>
          <wp:inline distT="0" distB="0" distL="0" distR="0">
            <wp:extent cx="4752975" cy="2857500"/>
            <wp:effectExtent t="0" r="0" b="0" l="0"/>
            <wp:docPr id="1" name="fig3" descr="EDA — per-class support after balanced capping, the sampling used by all final model comparisons." title="EDA — per-class support after balanced capping, the sampling used by all final model comparis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3. EDA — per-class support after balanced capping, the sampling used by all final model comparisons.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2552700"/>
            <wp:effectExtent t="0" r="0" b="0" l="0"/>
            <wp:docPr id="1" name="fig4" descr="EDA — frequency-domain histogram per class (low/mid/high band energy). Organic and paper carry more high-band energy than glass/plastic; this justifies the 9 FFT features." title="EDA — frequency-domain histogram per class (low/mid/high band energy). Organic and paper carry more high-band energy than glass/plastic; this justifies the 9 FFT featu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4. EDA — frequency-domain histogram per class (low/mid/high band energy). Organic and paper carry more high-band energy than glass/plastic; this justifies the 9 FFT features.</w:t>
      </w:r>
    </w:p>
    <w:p>
      <w:pPr>
        <w:spacing w:after="80" w:before="160"/>
      </w:pPr>
      <w:r>
        <w:rPr>
          <w:i/>
          <w:iCs/>
          <w:color w:val="444444"/>
          <w:sz w:val="20"/>
          <w:szCs w:val="20"/>
        </w:rPr>
        <w:t xml:space="preserve">Table 1. Frozen dataset numbers behind the final models.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2417"/>
        <w:gridCol w:w="3547"/>
      </w:tblGrid>
      <w:tr>
        <w:trPr>
          <w:tblHeader/>
        </w:trPr>
        <w:tc>
          <w:tcPr>
            <w:tcW w:type="dxa" w:w="30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4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35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0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merged_dataset_v3 (raw merge)</w:t>
            </w:r>
          </w:p>
        </w:tc>
        <w:tc>
          <w:tcPr>
            <w:tcW w:type="dxa" w:w="24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114,220 boxes</w:t>
            </w:r>
          </w:p>
        </w:tc>
        <w:tc>
          <w:tcPr>
            <w:tcW w:type="dxa" w:w="35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Baseline; audited, then superseded</w:t>
            </w:r>
          </w:p>
        </w:tc>
      </w:tr>
      <w:tr>
        <w:tc>
          <w:tcPr>
            <w:tcW w:type="dxa" w:w="30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tuned_dataset_v1</w:t>
            </w:r>
          </w:p>
        </w:tc>
        <w:tc>
          <w:tcPr>
            <w:tcW w:type="dxa" w:w="24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31,379 images / 67,385 boxes</w:t>
            </w:r>
          </w:p>
        </w:tc>
        <w:tc>
          <w:tcPr>
            <w:tcW w:type="dxa" w:w="35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Cleaned rebuild; glass test 200 → 863</w:t>
            </w:r>
          </w:p>
        </w:tc>
      </w:tr>
      <w:tr>
        <w:tc>
          <w:tcPr>
            <w:tcW w:type="dxa" w:w="30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merged_dataset_v5</w:t>
            </w:r>
          </w:p>
        </w:tc>
        <w:tc>
          <w:tcPr>
            <w:tcW w:type="dxa" w:w="24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29,639 crops, 7 classes</w:t>
            </w:r>
          </w:p>
        </w:tc>
        <w:tc>
          <w:tcPr>
            <w:tcW w:type="dxa" w:w="35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classification data</w:t>
            </w:r>
          </w:p>
        </w:tc>
      </w:tr>
      <w:tr>
        <w:tc>
          <w:tcPr>
            <w:tcW w:type="dxa" w:w="30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super_yolo_dataset</w:t>
            </w:r>
          </w:p>
        </w:tc>
        <w:tc>
          <w:tcPr>
            <w:tcW w:type="dxa" w:w="24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23,929 images / 102,777 boxes</w:t>
            </w:r>
          </w:p>
        </w:tc>
        <w:tc>
          <w:tcPr>
            <w:tcW w:type="dxa" w:w="35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localization data</w:t>
            </w:r>
          </w:p>
        </w:tc>
      </w:tr>
      <w:tr>
        <w:tc>
          <w:tcPr>
            <w:tcW w:type="dxa" w:w="30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hard_case_classifier_v1</w:t>
            </w:r>
          </w:p>
        </w:tc>
        <w:tc>
          <w:tcPr>
            <w:tcW w:type="dxa" w:w="24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12,600 / 2,680 / 2,696</w:t>
            </w:r>
          </w:p>
        </w:tc>
        <w:tc>
          <w:tcPr>
            <w:tcW w:type="dxa" w:w="35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Hard-case retraining (RealWaste + TACO)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r>
        <w:t xml:space="preserve">2. Classical ML branch (637 handcrafted features)</w:t>
      </w:r>
    </w:p>
    <w:p>
      <w:pPr>
        <w:spacing w:after="160" w:line="300"/>
        <w:jc w:val="both"/>
      </w:pPr>
      <w:r>
        <w:rPr>
          <w:b/>
          <w:bCs/>
        </w:rPr>
        <w:t xml:space="preserve">Proposed final headline: </w:t>
      </w:r>
      <w:r>
        <w:t xml:space="preserve">XGBoost, accuracy 0.6742, macro-F1 0.6506, balanced lecturer split (4,000 train crops/class, 6 classes). Evidence: runs/ml/feature_ml_lecturer_6class_4k. The current-dataset rerun (0.5408 / 0.3691) stays as a caveated secondary result — its test split has only 9 glass boxes.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552700"/>
            <wp:effectExtent t="0" r="0" b="0" l="0"/>
            <wp:docPr id="1" name="fig5" descr="Final classical ML comparison — accuracy and macro-F1 for all six models on the 637-D features." title="Final classical ML comparison — accuracy and macro-F1 for all six models on the 637-D featu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5. Final classical ML comparison — accuracy and macro-F1 for all six models on the 637-D features.</w:t>
      </w:r>
    </w:p>
    <w:p>
      <w:pPr>
        <w:spacing w:after="60" w:before="120"/>
        <w:jc w:val="center"/>
      </w:pPr>
      <w:r>
        <w:drawing>
          <wp:inline distT="0" distB="0" distL="0" distR="0">
            <wp:extent cx="4210050" cy="3676650"/>
            <wp:effectExtent t="0" r="0" b="0" l="0"/>
            <wp:docPr id="1" name="fig6" descr="Confusion matrix of the final ML model (XGBoost). Main leakage: paper ↔ cardboard and plastic ↔ glass." title="Confusion matrix of the final ML model (XGBoost). Main leakage: paper ↔ cardboard and plastic ↔ gla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6. Confusion matrix of the final ML model (XGBoost). Main leakage: paper ↔ cardboard and plastic ↔ glass.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590800"/>
            <wp:effectExtent t="0" r="0" b="0" l="0"/>
            <wp:docPr id="1" name="fig7" descr="PCA sweep — accuracy vs. components for three model families. The 128-D knee keeps 99.90% variance; the cost is model-specific (SVM −2.52 pp, LogReg −0.62 pp, trees −6 to −8 pp). Evidence: runs/ml/pca_feature_model_sweep." title="PCA sweep — accuracy vs. components for three model families. The 128-D knee keeps 99.90% variance; the cost is model-specific (SVM −2.52 pp, LogReg −0.62 pp, trees −6 to −8 pp). Evidence: runs/ml/pca_feature_model_swee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7. PCA sweep — accuracy vs. components for three model families. The 128-D knee keeps 99.90% variance; the cost is model-specific (SVM −2.52 pp, LogReg −0.62 pp, trees −6 to −8 pp). Evidence: runs/ml/pca_feature_model_sweep.</w:t>
      </w:r>
    </w:p>
    <w:p>
      <w:pPr>
        <w:spacing w:after="160"/>
        <w:jc w:val="both"/>
      </w:pPr>
      <w:r>
        <w:rPr>
          <w:b/>
          <w:bCs/>
        </w:rPr>
        <w:t xml:space="preserve">DECISION 1: </w:t>
      </w:r>
      <w:r>
        <w:t xml:space="preserve">Approve XGBoost 0.6742 / 0.6506 as the headline ML number, rerun as caveated secondary, and the model-specific PCA wording?</w:t>
      </w:r>
    </w:p>
    <w:p>
      <w:r>
        <w:br w:type="page"/>
      </w:r>
    </w:p>
    <w:p>
      <w:pPr>
        <w:pStyle w:val="Heading2"/>
      </w:pPr>
      <w:r>
        <w:t xml:space="preserve">3. Stage 2 crop classifier (deep learning)</w:t>
      </w:r>
    </w:p>
    <w:p>
      <w:pPr>
        <w:spacing w:after="160" w:line="300"/>
        <w:jc w:val="both"/>
      </w:pPr>
      <w:r>
        <w:t xml:space="preserve">Four trained models exist; one must be named final. The proposed final is the hard-case ConvNeXt (93.88% test), which is better than the currently deployed tuned model (92.52% val):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571750"/>
            <wp:effectExtent t="0" r="0" b="0" l="0"/>
            <wp:docPr id="1" name="fig8" descr="Classifier candidates — final accuracy per model. Green = proposed final; gray = currently deployed; blue/orange = upgrade candidates reported separately." title="Classifier candidates — final accuracy per model. Green = proposed final; gray = currently deployed; blue/orange = upgrade candidates reported separatel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8. Classifier candidates — final accuracy per model. Green = proposed final; gray = currently deployed; blue/orange = upgrade candidates reported separately.</w:t>
      </w:r>
    </w:p>
    <w:p>
      <w:pPr>
        <w:spacing w:after="60" w:before="120"/>
        <w:jc w:val="center"/>
      </w:pPr>
      <w:r>
        <w:drawing>
          <wp:inline distT="0" distB="0" distL="0" distR="0">
            <wp:extent cx="5581650" cy="1704975"/>
            <wp:effectExtent t="0" r="0" b="0" l="0"/>
            <wp:docPr id="1" name="fig9" descr="Supporting evidence — confusion matrices of the earlier Stage 2 architecture comparison (MobileNetV2 / ResNet50 / EfficientNetB0, 85.43% / 89.76% / 94.29%), which selected the EfficientNet/ConvNeXt direction." title="Supporting evidence — confusion matrices of the earlier Stage 2 architecture comparison (MobileNetV2 / ResNet50 / EfficientNetB0, 85.43% / 89.76% / 94.29%), which selected the EfficientNet/ConvNeXt dire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9. Supporting evidence — confusion matrices of the earlier Stage 2 architecture comparison (MobileNetV2 / ResNet50 / EfficientNetB0, 85.43% / 89.76% / 94.29%), which selected the EfficientNet/ConvNeXt direction.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2133600"/>
            <wp:effectExtent t="0" r="0" b="0" l="0"/>
            <wp:docPr id="1" name="fig10" descr="Training curves of the EfficientNetB0 baseline (94.29% test, 29.21 MB → 4.83 MB quantized)." title="Training curves of the EfficientNetB0 baseline (94.29% test, 29.21 MB → 4.83 MB quantiz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10. Training curves of the EfficientNetB0 baseline (94.29% test, 29.21 MB → 4.83 MB quantized).</w:t>
      </w:r>
    </w:p>
    <w:p>
      <w:pPr>
        <w:spacing w:after="80" w:before="160"/>
      </w:pPr>
      <w:r>
        <w:rPr>
          <w:i/>
          <w:iCs/>
          <w:color w:val="444444"/>
          <w:sz w:val="20"/>
          <w:szCs w:val="20"/>
        </w:rPr>
        <w:t xml:space="preserve">Table 2. Classifier candidates. Evidence: runs/dl/convnext_ensemble_tuned, convnext_hardcase_tuned, convnextv2_material_stage1_benchmark, convnextv2_stage0_trash_gate.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4"/>
        <w:gridCol w:w="1886"/>
        <w:gridCol w:w="1212"/>
        <w:gridCol w:w="1212"/>
        <w:gridCol w:w="2022"/>
      </w:tblGrid>
      <w:tr>
        <w:trPr>
          <w:tblHeader/>
        </w:trPr>
        <w:tc>
          <w:tcPr>
            <w:tcW w:type="dxa" w:w="2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Candidate</w:t>
            </w:r>
          </w:p>
        </w:tc>
        <w:tc>
          <w:tcPr>
            <w:tcW w:type="dxa" w:w="18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Split</w:t>
            </w:r>
          </w:p>
        </w:tc>
        <w:tc>
          <w:tcPr>
            <w:tcW w:type="dxa" w:w="1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Deployed?</w:t>
            </w:r>
          </w:p>
        </w:tc>
        <w:tc>
          <w:tcPr>
            <w:tcW w:type="dxa" w:w="20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Proposed role</w:t>
            </w:r>
          </w:p>
        </w:tc>
      </w:tr>
      <w:tr>
        <w:tc>
          <w:tcPr>
            <w:tcW w:type="dxa" w:w="2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ConvNeXt-Tiny + 637 (tuned)</w:t>
            </w:r>
          </w:p>
        </w:tc>
        <w:tc>
          <w:tcPr>
            <w:tcW w:type="dxa" w:w="18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92.52% acc</w:t>
            </w:r>
          </w:p>
        </w:tc>
        <w:tc>
          <w:tcPr>
            <w:tcW w:type="dxa" w:w="1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 (2,100)</w:t>
            </w:r>
          </w:p>
        </w:tc>
        <w:tc>
          <w:tcPr>
            <w:tcW w:type="dxa" w:w="1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(web API)</w:t>
            </w:r>
          </w:p>
        </w:tc>
        <w:tc>
          <w:tcPr>
            <w:tcW w:type="dxa" w:w="20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Currently deployed</w:t>
            </w:r>
          </w:p>
        </w:tc>
      </w:tr>
      <w:tr>
        <w:tc>
          <w:tcPr>
            <w:tcW w:type="dxa" w:w="2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ConvNeXt-Tiny + 637 (hard-case)</w:t>
            </w:r>
          </w:p>
        </w:tc>
        <w:tc>
          <w:tcPr>
            <w:tcW w:type="dxa" w:w="18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93.88% / 0.9398 F1</w:t>
            </w:r>
          </w:p>
        </w:tc>
        <w:tc>
          <w:tcPr>
            <w:tcW w:type="dxa" w:w="1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 (2,696)</w:t>
            </w:r>
          </w:p>
        </w:tc>
        <w:tc>
          <w:tcPr>
            <w:tcW w:type="dxa" w:w="1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0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PROPOSED FINAL</w:t>
            </w:r>
          </w:p>
        </w:tc>
      </w:tr>
      <w:tr>
        <w:tc>
          <w:tcPr>
            <w:tcW w:type="dxa" w:w="2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ConvNeXtV2 frozen + 637 + MLP</w:t>
            </w:r>
          </w:p>
        </w:tc>
        <w:tc>
          <w:tcPr>
            <w:tcW w:type="dxa" w:w="18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94.55% / 0.9459 F1</w:t>
            </w:r>
          </w:p>
        </w:tc>
        <w:tc>
          <w:tcPr>
            <w:tcW w:type="dxa" w:w="1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 (2,696)</w:t>
            </w:r>
          </w:p>
        </w:tc>
        <w:tc>
          <w:tcPr>
            <w:tcW w:type="dxa" w:w="1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0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Upgrade candidate</w:t>
            </w:r>
          </w:p>
        </w:tc>
      </w:tr>
      <w:tr>
        <w:tc>
          <w:tcPr>
            <w:tcW w:type="dxa" w:w="2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ConvNeXtV2 Stage-0 gate (binary)</w:t>
            </w:r>
          </w:p>
        </w:tc>
        <w:tc>
          <w:tcPr>
            <w:tcW w:type="dxa" w:w="18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97.81% / 0.9777 F1</w:t>
            </w:r>
          </w:p>
        </w:tc>
        <w:tc>
          <w:tcPr>
            <w:tcW w:type="dxa" w:w="1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 (319)</w:t>
            </w:r>
          </w:p>
        </w:tc>
        <w:tc>
          <w:tcPr>
            <w:tcW w:type="dxa" w:w="1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0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Gate, reported separately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b/>
          <w:bCs/>
        </w:rPr>
        <w:t xml:space="preserve">DECISION 2: </w:t>
      </w:r>
      <w:r>
        <w:t xml:space="preserve">Final classifier = hard-case ConvNeXt (93.88%, recommended) or the deployed tuned ConvNeXt (92.52%)? Update the web deployment to match?</w:t>
      </w:r>
    </w:p>
    <w:p>
      <w:r>
        <w:br w:type="page"/>
      </w:r>
    </w:p>
    <w:p>
      <w:pPr>
        <w:pStyle w:val="Heading2"/>
      </w:pPr>
      <w:r>
        <w:t xml:space="preserve">4. Detector and localization operating point</w:t>
      </w:r>
    </w:p>
    <w:p>
      <w:pPr>
        <w:spacing w:after="60" w:before="120"/>
        <w:jc w:val="center"/>
      </w:pPr>
      <w:r>
        <w:drawing>
          <wp:inline distT="0" distB="0" distL="0" distR="0">
            <wp:extent cx="5581650" cy="2352675"/>
            <wp:effectExtent t="0" r="0" b="0" l="0"/>
            <wp:docPr id="1" name="fig11" descr="Detector decision — YOLOv11 (deployed) vs. newly trained YOLO26n: near-identical quality, worse p95 latency for YOLO26n. Proposal: keep YOLOv11. Evidence: runs/detect/yolo11_vs_yolo26_benchmark.json." title="Detector decision — YOLOv11 (deployed) vs. newly trained YOLO26n: near-identical quality, worse p95 latency for YOLO26n. Proposal: keep YOLOv11. Evidence: runs/detect/yolo11_vs_yolo26_benchmark.js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11. Detector decision — YOLOv11 (deployed) vs. newly trained YOLO26n: near-identical quality, worse p95 latency for YOLO26n. Proposal: keep YOLOv11. Evidence: runs/detect/yolo11_vs_yolo26_benchmark.json.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695575"/>
            <wp:effectExtent t="0" r="0" b="0" l="0"/>
            <wp:docPr id="1" name="fig12" descr="Threshold engineering — precision/recall/F1 vs. confidence. conf 0.30 is the promoted best-F1 point; conf 0.50 is the config-only lever to reach precision ≥ 0.85. Evidence: runs/detect/precision_threshold_sweep." title="Threshold engineering — precision/recall/F1 vs. confidence. conf 0.30 is the promoted best-F1 point; conf 0.50 is the config-only lever to reach precision ≥ 0.85. Evidence: runs/detect/precision_threshold_swee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12. Threshold engineering — precision/recall/F1 vs. confidence. conf 0.30 is the promoted best-F1 point; conf 0.50 is the config-only lever to reach precision ≥ 0.85. Evidence: runs/detect/precision_threshold_sweep.</w:t>
      </w:r>
    </w:p>
    <w:p>
      <w:pPr>
        <w:spacing w:after="60" w:before="120"/>
        <w:jc w:val="center"/>
      </w:pPr>
      <w:r>
        <w:drawing>
          <wp:inline distT="0" distB="0" distL="0" distR="0">
            <wp:extent cx="4391025" cy="2924175"/>
            <wp:effectExtent t="0" r="0" b="0" l="0"/>
            <wp:docPr id="1" name="fig13" descr="Per-class precision-recall curves of the hard-case detector. Glass and plastic remain the hardest classes." title="Per-class precision-recall curves of the hard-case detector. Glass and plastic remain the hardest clas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13. Per-class precision-recall curves of the hard-case detector. Glass and plastic remain the hardest classes.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409825"/>
            <wp:effectExtent t="0" r="0" b="0" l="0"/>
            <wp:docPr id="1" name="fig14" descr="Final localization evaluation (300 stratified images, 1,152 GT boxes) — the Grad-CAM classification-first baseline collapses; YOLO conf 0.30 is promoted (P 0.6999 / R 0.5729 / F1 0.6301 / IoU 0.9057). Evidence: runs/dl/localization_rework." title="Final localization evaluation (300 stratified images, 1,152 GT boxes) — the Grad-CAM classification-first baseline collapses; YOLO conf 0.30 is promoted (P 0.6999 / R 0.5729 / F1 0.6301 / IoU 0.9057). Evidence: runs/dl/localization_rewo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14. Final localization evaluation (300 stratified images, 1,152 GT boxes) — the Grad-CAM classification-first baseline collapses; YOLO conf 0.30 is promoted (P 0.6999 / R 0.5729 / F1 0.6301 / IoU 0.9057). Evidence: runs/dl/localization_rework.</w:t>
      </w:r>
    </w:p>
    <w:p>
      <w:pPr>
        <w:spacing w:after="160"/>
        <w:jc w:val="both"/>
      </w:pPr>
      <w:r>
        <w:rPr>
          <w:b/>
          <w:bCs/>
        </w:rPr>
        <w:t xml:space="preserve">DECISION 3: </w:t>
      </w:r>
      <w:r>
        <w:t xml:space="preserve">Confirm YOLOv11 as final detector and conf 0.30 as the promoted operating point (conf 0.40–0.50 documented for precision-critical use)?</w:t>
      </w:r>
    </w:p>
    <w:p>
      <w:r>
        <w:br w:type="page"/>
      </w:r>
    </w:p>
    <w:p>
      <w:pPr>
        <w:pStyle w:val="Heading2"/>
      </w:pPr>
      <w:r>
        <w:t xml:space="preserve">5. End-to-end production numbers and generalization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076450"/>
            <wp:effectExtent t="0" r="0" b="0" l="0"/>
            <wp:docPr id="1" name="fig15" descr="End-to-end funnel on 100 unseen images: 348 proposals → 295 accepted; 59.0% consensus, 41.0% CNN corrections, 53 suppressed. Latency 238.08 ms/image CPU (4.20 FPS). Evidence: runs/detect/yolo_efficientnet_pipeline." title="End-to-end funnel on 100 unseen images: 348 proposals → 295 accepted; 59.0% consensus, 41.0% CNN corrections, 53 suppressed. Latency 238.08 ms/image CPU (4.20 FPS). Evidence: runs/detect/yolo_efficientnet_pipel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15. End-to-end funnel on 100 unseen images: 348 proposals → 295 accepted; 59.0% consensus, 41.0% CNN corrections, 53 suppressed. Latency 238.08 ms/image CPU (4.20 FPS). Evidence: runs/detect/yolo_efficientnet_pipeline.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2266950"/>
            <wp:effectExtent t="0" r="0" b="0" l="0"/>
            <wp:docPr id="1" name="fig16" descr="Honest generalization cost — training domain vs. test domain with identical classes. The 40.19 pp studio→field drop is the project's stated main limitation. Evidence: runs/dl/cross_dataset_validation." title="Honest generalization cost — training domain vs. test domain with identical classes. The 40.19 pp studio→field drop is the project's stated main limitation. Evidence: runs/dl/cross_dataset_valid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16. Honest generalization cost — training domain vs. test domain with identical classes. The 40.19 pp studio→field drop is the project's stated main limitation. Evidence: runs/dl/cross_dataset_validation.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Edge budget: quantized EfficientNetB0 TFLite = 4.83 MB (6.0× smaller), 362.43 FPS synthetic.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Hard-case walkthrough (reflective plastic): 0 boxes at conf 0.30 → adaptive recovery at conf 0.05 → 3 boxes → final Plastic 84% with Beach context prior.</w:t>
      </w:r>
    </w:p>
    <w:p>
      <w:pPr>
        <w:spacing w:after="160"/>
        <w:jc w:val="both"/>
      </w:pPr>
      <w:r>
        <w:rPr>
          <w:b/>
          <w:bCs/>
        </w:rPr>
        <w:t xml:space="preserve">DECISION 4: </w:t>
      </w:r>
      <w:r>
        <w:t xml:space="preserve">Approve these as the final production-evidence numbers (no rerun needed)?</w:t>
      </w:r>
    </w:p>
    <w:p>
      <w:pPr>
        <w:pStyle w:val="Heading2"/>
      </w:pPr>
      <w:r>
        <w:t xml:space="preserve">6. Sign-off summary</w:t>
      </w:r>
    </w:p>
    <w:p>
      <w:pPr>
        <w:spacing w:after="80" w:before="160"/>
      </w:pPr>
      <w:r>
        <w:rPr>
          <w:i/>
          <w:iCs/>
          <w:color w:val="444444"/>
          <w:sz w:val="20"/>
          <w:szCs w:val="20"/>
        </w:rPr>
        <w:t xml:space="preserve">Table 3. Decisions needed before the report is locked.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"/>
        <w:gridCol w:w="3008"/>
        <w:gridCol w:w="5350"/>
      </w:tblGrid>
      <w:tr>
        <w:trPr>
          <w:tblHeader/>
        </w:trPr>
        <w:tc>
          <w:tcPr>
            <w:tcW w:type="dxa" w:w="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5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ML headline number + PCA wording</w:t>
            </w:r>
          </w:p>
        </w:tc>
        <w:tc>
          <w:tcPr>
            <w:tcW w:type="dxa" w:w="5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XGBoost 0.6742 / 0.6506; PCA claim stated per-model (SVM -2.52 pp at 128-D)</w:t>
            </w:r>
          </w:p>
        </w:tc>
      </w:tr>
      <w:tr>
        <w:tc>
          <w:tcPr>
            <w:tcW w:type="dxa" w:w="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Stage 2 classifier</w:t>
            </w:r>
          </w:p>
        </w:tc>
        <w:tc>
          <w:tcPr>
            <w:tcW w:type="dxa" w:w="5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Hard-case ConvNeXt, 93.88% test; update deployment to match</w:t>
            </w:r>
          </w:p>
        </w:tc>
      </w:tr>
      <w:tr>
        <w:tc>
          <w:tcPr>
            <w:tcW w:type="dxa" w:w="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Detector + operating point</w:t>
            </w:r>
          </w:p>
        </w:tc>
        <w:tc>
          <w:tcPr>
            <w:tcW w:type="dxa" w:w="5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Keep YOLOv11; conf 0.30 promoted, conf 0.40-0.50 documented</w:t>
            </w:r>
          </w:p>
        </w:tc>
      </w:tr>
      <w:tr>
        <w:tc>
          <w:tcPr>
            <w:tcW w:type="dxa" w:w="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End-to-end evidence</w:t>
            </w:r>
          </w:p>
        </w:tc>
        <w:tc>
          <w:tcPr>
            <w:tcW w:type="dxa" w:w="5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Freeze 100-image sweep + latency numbers</w:t>
            </w:r>
          </w:p>
        </w:tc>
      </w:tr>
      <w:tr>
        <w:tc>
          <w:tcPr>
            <w:tcW w:type="dxa" w:w="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Generalization caveat</w:t>
            </w:r>
          </w:p>
        </w:tc>
        <w:tc>
          <w:tcPr>
            <w:tcW w:type="dxa" w:w="5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 the 40.19 pp studio-to-field gap as a stated limitation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t xml:space="preserve">Once approved, the final report will present exactly one final number per branch, with all alternatives moved to supporting-evidence sections.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WasteWise - Final Model Results (sign-off)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B4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124061934ae6eb6e036b192dc19382f8e5e72e.png"/><Relationship Id="rId10" Type="http://schemas.openxmlformats.org/officeDocument/2006/relationships/image" Target="media/6b51ce6aced92800a8b7570e3ebb328ec413dbe9.png"/><Relationship Id="rId11" Type="http://schemas.openxmlformats.org/officeDocument/2006/relationships/image" Target="media/661f4d9d29dcd33fd4e3dc10fdf673ba7e54bc42.png"/><Relationship Id="rId12" Type="http://schemas.openxmlformats.org/officeDocument/2006/relationships/image" Target="media/1061e5f87d5a2824d727d8bc4ec94b9d1ed0a309.png"/><Relationship Id="rId13" Type="http://schemas.openxmlformats.org/officeDocument/2006/relationships/image" Target="media/70ea8eae75aeed3ff1c56211df6ffcdc2235a210.png"/><Relationship Id="rId14" Type="http://schemas.openxmlformats.org/officeDocument/2006/relationships/image" Target="media/e81356e04d142c161ffd4631351bf19bd532c485.png"/><Relationship Id="rId15" Type="http://schemas.openxmlformats.org/officeDocument/2006/relationships/image" Target="media/688723b357d152870b73d4ecdb00ddaf749868d9.png"/><Relationship Id="rId16" Type="http://schemas.openxmlformats.org/officeDocument/2006/relationships/image" Target="media/a0462a7c8c058b120e98173e82ccdad0c25d2894.png"/><Relationship Id="rId17" Type="http://schemas.openxmlformats.org/officeDocument/2006/relationships/image" Target="media/210f6eb5e95ab29b7053e166e072f5a2c287410b.png"/><Relationship Id="rId18" Type="http://schemas.openxmlformats.org/officeDocument/2006/relationships/image" Target="media/00a6d37ce7e6bfcc666b6b6afff95fc3c16f9436.png"/><Relationship Id="rId19" Type="http://schemas.openxmlformats.org/officeDocument/2006/relationships/image" Target="media/a52192a58408162ce72f618cd87913b9eafc0f6c.png"/><Relationship Id="rId20" Type="http://schemas.openxmlformats.org/officeDocument/2006/relationships/image" Target="media/e21799b71dea66200e102bca38f25179fd8fd259.png"/><Relationship Id="rId21" Type="http://schemas.openxmlformats.org/officeDocument/2006/relationships/image" Target="media/b2abe42a674e291dff2837695ddf2bdbc59ffc95.png"/><Relationship Id="rId22" Type="http://schemas.openxmlformats.org/officeDocument/2006/relationships/image" Target="media/43e5704ff8f6e2a94bf74785249e3575af50d023.png"/><Relationship Id="rId23" Type="http://schemas.openxmlformats.org/officeDocument/2006/relationships/image" Target="media/28113de2357eff807a0c8bd9a9bad786a9d62f2d.png"/><Relationship Id="rId24" Type="http://schemas.openxmlformats.org/officeDocument/2006/relationships/image" Target="media/b6f69b7bb58eb921b202bb5eff41b0f8e3153c3f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WasteWise - Final Model Results (Sign-off)</dc:title>
  <dc:creator>Khoa Phung</dc:creator>
  <cp:lastModifiedBy>Un-named</cp:lastModifiedBy>
  <cp:revision>1</cp:revision>
  <dcterms:created xsi:type="dcterms:W3CDTF">2026-07-02T05:45:01.958Z</dcterms:created>
  <dcterms:modified xsi:type="dcterms:W3CDTF">2026-07-02T05:45:01.960Z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