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8"/>
          <w:szCs w:val="38"/>
        </w:rPr>
        <w:t xml:space="preserve">WasteWise — Methodology Clarification &amp; Workflows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Response to lecturer feedback: (1) clarify all methodologies used, with drawn workflows; (2) GUI restructured to follow the workflow step by step</w:t>
      </w:r>
    </w:p>
    <w:p>
      <w:pPr>
        <w:pBdr>
          <w:bottom w:val="single" w:color="2E5B4F" w:sz="6" w:space="4"/>
        </w:pBdr>
        <w:spacing w:after="240"/>
      </w:pPr>
      <w:r>
        <w:rPr>
          <w:color w:val="555555"/>
          <w:sz w:val="20"/>
          <w:szCs w:val="20"/>
        </w:rPr>
        <w:t xml:space="preserve">Student: Khoa Phung — July 3, 2026</w:t>
      </w:r>
    </w:p>
    <w:p>
      <w:pPr>
        <w:pStyle w:val="Heading1"/>
      </w:pPr>
      <w:r>
        <w:t xml:space="preserve">1. Overall workflow</w:t>
      </w:r>
    </w:p>
    <w:p>
      <w:pPr>
        <w:spacing w:after="160" w:line="300"/>
        <w:jc w:val="both"/>
      </w:pPr>
      <w:r>
        <w:t xml:space="preserve">The project runs one shared data pipeline and two method branches. Branch A is the explainable classical ML pipeline (handcrafted features → classical models → PCA). Branch B is the deep-learning production pipeline (YOLO localization first, crop verification second). The same 637 handcrafted features appear in both branches: in Branch A they are the entire representation; in Branch B they are fused with the ConvNeXt embedding inside the Stage 2 classifier.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3590925"/>
            <wp:effectExtent t="0" r="0" b="0" l="0"/>
            <wp:docPr id="1" name="fig1" descr="Workflow 1 — overall project workflow: shared data pipeline (top), explainable ML branch (left), deep-learning production branch (right)." title="Workflow 1 — overall project workflow: shared data pipeline (top), explainable ML branch (left), deep-learning production branch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1. Workflow 1 — overall project workflow: shared data pipeline (top), explainable ML branch (left), deep-learning production branch (right).</w:t>
      </w:r>
    </w:p>
    <w:p>
      <w:pPr>
        <w:pStyle w:val="Heading1"/>
        <w:pageBreakBefore/>
      </w:pPr>
      <w:r>
        <w:t xml:space="preserve">2. Data methodology</w:t>
      </w:r>
    </w:p>
    <w:p>
      <w:pPr>
        <w:spacing w:after="80" w:before="160"/>
      </w:pPr>
      <w:r>
        <w:rPr>
          <w:i/>
          <w:iCs/>
          <w:color w:val="444444"/>
          <w:sz w:val="20"/>
          <w:szCs w:val="20"/>
        </w:rPr>
        <w:t xml:space="preserve">Table 1. Data-processing methods used and their purpose.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459"/>
        <w:gridCol w:w="3311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3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is used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Multi-source merge with source tags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Merges 6 Roboflow sources + TrashNet + GINI + TACO + RealWaste, keeping the source prefix in every filename</w:t>
            </w:r>
          </w:p>
        </w:tc>
        <w:tc>
          <w:tcPr>
            <w:tcW w:type="dxa" w:w="33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Preserves data provenance so results can be analyzed per source (lecturer requirement)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EDA audit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Counts classes per split, box-area histograms, invalid label rows, unreadable images</w:t>
            </w:r>
          </w:p>
        </w:tc>
        <w:tc>
          <w:tcPr>
            <w:tcW w:type="dxa" w:w="33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Finds structural problems before any training; produced the evidence for the rebuild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Perceptual-hash deduplication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Hashes every image and groups exact duplicates</w:t>
            </w:r>
          </w:p>
        </w:tc>
        <w:tc>
          <w:tcPr>
            <w:tcW w:type="dxa" w:w="33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Removed 5,862 duplicate images that would leak between train and test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Tiny-box filter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Drops boxes smaller than 10 px or relative area &lt; 0.0002</w:t>
            </w:r>
          </w:p>
        </w:tc>
        <w:tc>
          <w:tcPr>
            <w:tcW w:type="dxa" w:w="33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Sub-10 px boxes carry label noise, not signal (1,537 dropped)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Split rebuild by dominant class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Re-assigns images to train/valid/test by their dominant class</w:t>
            </w:r>
          </w:p>
        </w:tc>
        <w:tc>
          <w:tcPr>
            <w:tcW w:type="dxa" w:w="33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Fixes broken support (glass test boxes: 200 → 863)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Per-class capping (balanced sampling)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Caps each class at N crops (typically 1,000–4,000 train), records class_support.json</w:t>
            </w:r>
          </w:p>
        </w:tc>
        <w:tc>
          <w:tcPr>
            <w:tcW w:type="dxa" w:w="33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Makes model comparisons fair under imbalance; keeps honest support visible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Frequency-domain analysis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FFT spectra and radial band energy per class</w:t>
            </w:r>
          </w:p>
        </w:tc>
        <w:tc>
          <w:tcPr>
            <w:tcW w:type="dxa" w:w="33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Justifies the 9 FFT features; follows the lecturer's spatial → frequency → comment → ML order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Branch A methodology — explainable classical ML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2933700"/>
            <wp:effectExtent t="0" r="0" b="0" l="0"/>
            <wp:docPr id="1" name="fig2" descr="Workflow 2 — Branch A: crops → 637 handcrafted features (four explainable groups) → six-model comparison → PCA study." title="Workflow 2 — Branch A: crops → 637 handcrafted features (four explainable groups) → six-model comparison → PCA stud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2. Workflow 2 — Branch A: crops → 637 handcrafted features (four explainable groups) → six-model comparison → PCA study.</w:t>
      </w:r>
    </w:p>
    <w:p>
      <w:pPr>
        <w:pStyle w:val="Heading2"/>
      </w:pPr>
      <w:r>
        <w:t xml:space="preserve">3.1 The 637-dimensional feature vector</w:t>
      </w:r>
    </w:p>
    <w:p>
      <w:pPr>
        <w:spacing w:after="80" w:before="160"/>
      </w:pPr>
      <w:r>
        <w:rPr>
          <w:i/>
          <w:iCs/>
          <w:color w:val="444444"/>
          <w:sz w:val="20"/>
          <w:szCs w:val="20"/>
        </w:rPr>
        <w:t xml:space="preserve">Table 2. Every feature is mathematically defined and individually explainable.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1"/>
        <w:gridCol w:w="820"/>
        <w:gridCol w:w="3878"/>
        <w:gridCol w:w="2837"/>
      </w:tblGrid>
      <w:tr>
        <w:trPr>
          <w:tblHeader/>
        </w:trPr>
        <w:tc>
          <w:tcPr>
            <w:tcW w:type="dxa" w:w="14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8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</w:tr>
      <w:tr>
        <w:tc>
          <w:tcPr>
            <w:tcW w:type="dxa" w:w="14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Spatial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mean/std intensity; 10th/50th/90th intensity percentiles; Sobel gradient mean/std; Canny edge density</w:t>
            </w:r>
          </w:p>
        </w:tc>
        <w:tc>
          <w:tcPr>
            <w:tcW w:type="dxa" w:w="28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Brightness distribution and edge structure of the crop</w:t>
            </w:r>
          </w:p>
        </w:tc>
      </w:tr>
      <w:tr>
        <w:tc>
          <w:tcPr>
            <w:tcW w:type="dxa" w:w="14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Frequency (FFT)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2-D FFT magnitude summed in 8 radial rings + total high-frequency energy</w:t>
            </w:r>
          </w:p>
        </w:tc>
        <w:tc>
          <w:tcPr>
            <w:tcW w:type="dxa" w:w="28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Texture roughness: organic waste is broadband, smooth plastic is low-frequency</w:t>
            </w:r>
          </w:p>
        </w:tc>
      </w:tr>
      <w:tr>
        <w:tc>
          <w:tcPr>
            <w:tcW w:type="dxa" w:w="14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Color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3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HSV channel histograms plus BGR and HSV per-channel mean and std</w:t>
            </w:r>
          </w:p>
        </w:tc>
        <w:tc>
          <w:tcPr>
            <w:tcW w:type="dxa" w:w="28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Material color statistics (brown cardboard, green/brown glass, etc.)</w:t>
            </w:r>
          </w:p>
        </w:tc>
      </w:tr>
      <w:tr>
        <w:tc>
          <w:tcPr>
            <w:tcW w:type="dxa" w:w="14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HOG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576</w:t>
            </w:r>
          </w:p>
        </w:tc>
        <w:tc>
          <w:tcPr>
            <w:tcW w:type="dxa" w:w="3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9-orientation gradient histograms over 8×8-px cells with block normalization (Dalal &amp; Triggs 2005)</w:t>
            </w:r>
          </w:p>
        </w:tc>
        <w:tc>
          <w:tcPr>
            <w:tcW w:type="dxa" w:w="28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shape and texture: edges of cans, bottle silhouettes, crumple patterns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Models compared</w:t>
      </w:r>
    </w:p>
    <w:p>
      <w:pPr>
        <w:spacing w:after="160" w:line="300"/>
        <w:jc w:val="both"/>
      </w:pPr>
      <w:r>
        <w:t xml:space="preserve">Six classical classifiers are trained on the identical feature matrix and splits: Decision Tree, Logistic Regression (L2), Linear SVM (on standardized features), Random Forest (300 trees), ExtraTrees, and XGBoost. Features are standardized with a StandardScaler fitted on the training split only. Sampling uses balanced per-class caps with support recorded in class_support.json. Evaluation reports accuracy, macro-F1, per-model confusion matrices, and feature-domain importance (spatial vs. frequency vs. color vs. HOG).</w:t>
      </w:r>
    </w:p>
    <w:p>
      <w:pPr>
        <w:pStyle w:val="Heading2"/>
      </w:pPr>
      <w:r>
        <w:t xml:space="preserve">3.3 PCA dimensionality methodology</w:t>
      </w:r>
    </w:p>
    <w:p>
      <w:pPr>
        <w:spacing w:after="160" w:line="300"/>
        <w:jc w:val="both"/>
      </w:pPr>
      <w:r>
        <w:t xml:space="preserve">PCA is fitted on the training features; both splits are projected to 16, 32, 64, 96, 128, 192, 256, 384 dimensions; every model is retrained per dimension. The study reports explained variance, accuracy, macro-F1, and per-sample latency, and states the compression cost per model — linear models lose ~0.6–2.5 pp at 128-D while tree ensembles lose 6–8 pp, so no single 'PCA costs X%' claim is made.</w:t>
      </w:r>
    </w:p>
    <w:p>
      <w:pPr>
        <w:pStyle w:val="Heading1"/>
        <w:pageBreakBefore/>
      </w:pPr>
      <w:r>
        <w:t xml:space="preserve">4. Branch B methodology — two-stage production pipeline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4257675"/>
            <wp:effectExtent t="0" r="0" b="0" l="0"/>
            <wp:docPr id="1" name="fig3" descr="Workflow 3 — Branch B: the production pipeline. Step numbers S1–S6 are the same numbers shown in the reworked GUI." title="Workflow 3 — Branch B: the production pipeline. Step numbers S1–S6 are the same numbers shown in the reworked GU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3. Workflow 3 — Branch B: the production pipeline. Step numbers S1–S6 are the same numbers shown in the reworked GUI.</w:t>
      </w:r>
    </w:p>
    <w:p>
      <w:pPr>
        <w:pStyle w:val="Heading2"/>
      </w:pPr>
      <w:r>
        <w:t xml:space="preserve">4.1 Stage 1 — YOLO object proposal (S2)</w:t>
      </w:r>
    </w:p>
    <w:p>
      <w:pPr>
        <w:spacing w:after="160" w:line="300"/>
        <w:jc w:val="both"/>
      </w:pPr>
      <w:r>
        <w:t xml:space="preserve">A YOLOv11 detector (trained 30 epochs on the 23,929-image super dataset; benchmarked against YOLO26n and kept) runs at conf 0.30, image size 960, max 80 detections. Its role is deliberately limited to proposing boxes: mean matched IoU of accepted boxes is 0.906, so YOLO is trusted for geometry, not for the final label.</w:t>
      </w:r>
    </w:p>
    <w:p>
      <w:pPr>
        <w:pStyle w:val="Heading2"/>
      </w:pPr>
      <w:r>
        <w:t xml:space="preserve">4.2 Adaptive scene engine (S2)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SMALL_OBJECT_RECOVERY: </w:t>
      </w:r>
      <w:r>
        <w:t xml:space="preserve">if 0 boxes are found at conf 0.30, YOLO re-runs at conf 0.05 and the CNN acceptance limit is relaxed to 0.15 — recovers reflective/small objects.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DENSE_CLUTTER_MITIGATION: </w:t>
      </w:r>
      <w:r>
        <w:t xml:space="preserve">if ≥ 8 boxes are found, the CNN acceptance limit tightens to 0.20 to control false alarms in cluttered scenes.</w:t>
      </w:r>
    </w:p>
    <w:p>
      <w:pPr>
        <w:pStyle w:val="Heading2"/>
      </w:pPr>
      <w:r>
        <w:t xml:space="preserve">4.3 Crop extraction and filtering (S3)</w:t>
      </w:r>
    </w:p>
    <w:p>
      <w:pPr>
        <w:spacing w:after="160" w:line="300"/>
        <w:jc w:val="both"/>
      </w:pPr>
      <w:r>
        <w:t xml:space="preserve">Boxes smaller than 24 × 24 px are rejected (physical size filter); surviving boxes are padded by 10 px and cropped. This is the hand-off from localization to classification.</w:t>
      </w:r>
    </w:p>
    <w:p>
      <w:pPr>
        <w:pStyle w:val="Heading2"/>
      </w:pPr>
      <w:r>
        <w:t xml:space="preserve">4.4 Stage 2 — multimodal crop verification (S4)</w:t>
      </w:r>
    </w:p>
    <w:p>
      <w:pPr>
        <w:spacing w:after="160" w:line="300"/>
        <w:jc w:val="both"/>
      </w:pPr>
      <w:r>
        <w:t xml:space="preserve">Each crop is classified by a ConvNeXt-Tiny network whose image embedding is concatenated with the standardized 637 handcrafted features before the classification head — the deep model and the explainable features vote inside one network. The output is a 7-class probability vector including Background, which lets Stage 2 veto YOLO false alarms. Training uses a 3-epoch frozen-backbone warm-up followed by 7 epochs of progressive unfreezing (RTX 3060); the hard-case retrain on RealWaste + TACO crops is the proposed final model (93.88% test accuracy).</w:t>
      </w:r>
    </w:p>
    <w:p>
      <w:pPr>
        <w:pStyle w:val="Heading2"/>
      </w:pPr>
      <w:r>
        <w:t xml:space="preserve">4.5 Score fusion and context priors (S5)</w:t>
      </w:r>
    </w:p>
    <w:p>
      <w:pPr>
        <w:spacing w:after="160" w:line="300"/>
        <w:jc w:val="both"/>
      </w:pPr>
      <w:r>
        <w:rPr>
          <w:b/>
          <w:bCs/>
        </w:rPr>
        <w:t xml:space="preserve">Dynamic alpha blending. </w:t>
      </w:r>
      <w:r>
        <w:t xml:space="preserve">Final score = α·YOLO + (1−α)·CNN, with α depending on YOLO confidence: α = 0.70 if YOLO ≥ 0.65; α = 0.40 if YOLO ≥ 0.30; α = 0.15 otherwise. High-confidence YOLO geometry is trusted; weak proposals defer to the CNN's texture evidence.</w:t>
      </w:r>
    </w:p>
    <w:p>
      <w:pPr>
        <w:spacing w:after="160" w:line="300"/>
        <w:jc w:val="both"/>
      </w:pPr>
      <w:r>
        <w:rPr>
          <w:b/>
          <w:bCs/>
        </w:rPr>
        <w:t xml:space="preserve">Bayesian context priors. </w:t>
      </w:r>
      <w:r>
        <w:t xml:space="preserve">An HSV scene detector classifies the environment (Beach, Grass, Street, Indoor). Non-background class probabilities are multiplied by the context prior vector and renormalized — e.g., Beach = [0.35, 0.25, 0.20, 0.05, 0.05, 0.10] over plastic/glass/metal/paper/cardboard/organic — following Torralba's contextual-priming principle.</w:t>
      </w:r>
    </w:p>
    <w:p>
      <w:pPr>
        <w:pStyle w:val="Heading2"/>
      </w:pPr>
      <w:r>
        <w:t xml:space="preserve">4.6 Decision gate and aggregation (S6)</w:t>
      </w:r>
    </w:p>
    <w:p>
      <w:pPr>
        <w:spacing w:after="160" w:line="300"/>
        <w:jc w:val="both"/>
      </w:pPr>
      <w:r>
        <w:t xml:space="preserve">Class-specific acceptance thresholds (plastic 0.25, glass 0.30, metal 0.18, paper 0.20, cardboard 0.18, organic 0.22) reject weak labels into 'review'. A waste-state gate marks each object waste / not_waste / review, and only 'waste' objects enter bin routing. Bottom-up aggregation (area- and confidence-weighted) produces the dominant material and the final bin route.</w:t>
      </w:r>
    </w:p>
    <w:p>
      <w:pPr>
        <w:pStyle w:val="Heading2"/>
      </w:pPr>
      <w:r>
        <w:t xml:space="preserve">4.7 Evaluation methodology</w:t>
      </w:r>
    </w:p>
    <w:p>
      <w:pPr>
        <w:spacing w:after="160" w:line="300"/>
        <w:jc w:val="both"/>
      </w:pPr>
      <w:r>
        <w:t xml:space="preserve">Localization is evaluated by IoU@0.5 matching against ground-truth boxes on 300 stratified test images: precision, recall, F1, and mean matched IoU. The classification-first Grad-CAM alternative was implemented and measured with identical metrics (P 0.257 / R 0.073) — the quantitative justification for the localization-first design. Classification is evaluated with accuracy/macro-F1 on balanced splits; detectors additionally report mAP@0.5 and mAP@0.5:0.95; deployment reports model size, latency, and FPS.</w:t>
      </w:r>
    </w:p>
    <w:p>
      <w:pPr>
        <w:pStyle w:val="Heading1"/>
        <w:pageBreakBefore/>
      </w:pPr>
      <w:r>
        <w:t xml:space="preserve">5. GUI reworked to follow the workflow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2028825"/>
            <wp:effectExtent t="0" r="0" b="0" l="0"/>
            <wp:docPr id="1" name="fig4" descr="Workflow 4 — the reworked GUI: one panel per pipeline step, numbered S1–S6 to match Workflow 3." title="Workflow 4 — the reworked GUI: one panel per pipeline step, numbered S1–S6 to match Workflow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4. Workflow 4 — the reworked GUI: one panel per pipeline step, numbered S1–S6 to match Workflow 3.</w:t>
      </w:r>
    </w:p>
    <w:p>
      <w:pPr>
        <w:spacing w:after="160" w:line="300"/>
        <w:jc w:val="both"/>
      </w:pPr>
      <w:r>
        <w:t xml:space="preserve">The web GUI now renders the scan as a numbered step sequence that mirrors Workflow 3 exactly. Each step shows the real data produced at that stage of the current scan — not a static description: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S1 Input: </w:t>
      </w:r>
      <w:r>
        <w:t xml:space="preserve">uploaded image preview, source, and resolution.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S2 Localization: </w:t>
      </w:r>
      <w:r>
        <w:t xml:space="preserve">YOLO boxes drawn on the image; box count, confidence threshold used, and the adaptive-engine mode badge (normal / small-object recovery / dense clutter).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S3 Crops: </w:t>
      </w:r>
      <w:r>
        <w:t xml:space="preserve">a thumbnail strip of the actual extracted crops with the YOLO label and confidence under each, plus the size-filter count.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S4 Verification: </w:t>
      </w:r>
      <w:r>
        <w:t xml:space="preserve">for every verified crop: YOLO's label vs. the CNN's label with both confidences, the blending weight α, and an agree/corrected badge.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S5 Context fusion: </w:t>
      </w:r>
      <w:r>
        <w:t xml:space="preserve">the detected scene context, the prior vector applied, and the fused result per crop.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S6 Decision: </w:t>
      </w:r>
      <w:r>
        <w:t xml:space="preserve">waste state, dominant material, bin route, top-3 predictions, all seven class scores, and latency.</w:t>
      </w:r>
    </w:p>
    <w:p>
      <w:pPr>
        <w:spacing w:after="160" w:line="300"/>
        <w:jc w:val="both"/>
      </w:pPr>
      <w:r>
        <w:t xml:space="preserve">Implementation: web/server.py now returns a per-scan workflow payload (per-crop thumbnails as base64, α values, adaptive mode, prior used, filter counts) and web/index.html + app.js render the numbered stepper; the pipeline diagram (Workflow 3) is embedded above the stepper so the panels can be read against the methodology.</w:t>
      </w:r>
    </w:p>
    <w:p>
      <w:pPr>
        <w:pStyle w:val="Heading1"/>
        <w:pageBreakBefore/>
      </w:pPr>
      <w:r>
        <w:t xml:space="preserve">6. All methodologies at a glance</w:t>
      </w:r>
    </w:p>
    <w:p>
      <w:pPr>
        <w:spacing w:after="80" w:before="160"/>
      </w:pPr>
      <w:r>
        <w:rPr>
          <w:i/>
          <w:iCs/>
          <w:color w:val="444444"/>
          <w:sz w:val="20"/>
          <w:szCs w:val="20"/>
        </w:rPr>
        <w:t xml:space="preserve">Table 3. Every method used in WasteWise, where it lives, and its evidence.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3611"/>
      </w:tblGrid>
      <w:tr>
        <w:trPr>
          <w:tblHeader/>
        </w:trP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Branch / step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path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EDA audit + dedup + tiny-box filter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runs/dataset_eda, docs DATASET_EDA_AND_TUNING_REPORT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Balanced per-class sampling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/ A3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class_support.json in every run folder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Frequency-domain analysis (FFT)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/ A2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data/frequency_analysis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637 handcrafted features (spatial/FFT/color/HOG)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A2, fused into S4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scripts/feature_ml_analysis.py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Six-model classical comparison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A3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runs/ml/feature_ml_lecturer_6class_4k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PCA dimensionality study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A4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runs/ml/pca_feature_model_sweep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YOLO detection training (v8/v11/26)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 / S2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runs/detect, models/trained/yolov11_detector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Adaptive scene engine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web/server.py; milestones report §4.4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Physical size filter + crop padding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S3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web/server.py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ConvNeXt + 637 multimodal fusion classifier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S4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runs/dl/convnext_hardcase_tuned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alpha blending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S5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web/server.py; weekly report 2026-05-21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Bayesian context priors (HSV scene)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S5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web/server.py; milestones report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 thresholds + waste-state gate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S6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web/server.py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IoU@0.5 localization evaluation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B4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runs/dl/localization_rework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Grad-CAM classification-first baseline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B4 (rejected)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runs/dl/localization_rework/gradcam_baseline_stratified60</w:t>
            </w:r>
          </w:p>
        </w:tc>
      </w:tr>
      <w:tr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Quantization / ONNX export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B5</w:t>
            </w:r>
          </w:p>
        </w:tc>
        <w:tc>
          <w:tcPr>
            <w:tcW w:type="dxa" w:w="36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scripts/export_tflite.py, export_ensemble_onnx.py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WasteWise - Methodology &amp; Workflows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4F" w:sz="6" w:space="2"/>
      </w:pBdr>
      <w:spacing w:after="200" w:before="300"/>
      <w:outlineLvl w:val="0"/>
    </w:pPr>
    <w:rPr>
      <w:rFonts w:ascii="Arial" w:cs="Arial" w:eastAsia="Arial" w:hAnsi="Arial"/>
      <w:b/>
      <w:bCs/>
      <w:color w:val="1F4E4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20"/>
      <w:outlineLvl w:val="1"/>
    </w:pPr>
    <w:rPr>
      <w:rFonts w:ascii="Arial" w:cs="Arial" w:eastAsia="Arial" w:hAnsi="Arial"/>
      <w:b/>
      <w:bCs/>
      <w:color w:val="2E5B4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4d0cc6c8a588774fd6738729d4444c371c9172.png"/><Relationship Id="rId10" Type="http://schemas.openxmlformats.org/officeDocument/2006/relationships/image" Target="media/eb92d1af35e350de5af9788bbfdf1daca321e2ae.png"/><Relationship Id="rId11" Type="http://schemas.openxmlformats.org/officeDocument/2006/relationships/image" Target="media/535d2d0e1f4a8f8d92239b6f9e58f1015c1d613b.png"/><Relationship Id="rId12" Type="http://schemas.openxmlformats.org/officeDocument/2006/relationships/image" Target="media/3dd2ade4e1571537d85da1a0c5c2b35bf851b32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WasteWise - Methodology Clarification &amp; Workflows</dc:title>
  <dc:creator>Khoa Phung</dc:creator>
  <cp:lastModifiedBy>Un-named</cp:lastModifiedBy>
  <cp:revision>1</cp:revision>
  <dcterms:created xsi:type="dcterms:W3CDTF">2026-07-03T14:18:39.502Z</dcterms:created>
  <dcterms:modified xsi:type="dcterms:W3CDTF">2026-07-03T14:18:39.518Z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