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4F46E5"/>
          <w:sz w:val="44"/>
        </w:rPr>
        <w:t>P PayKX</w:t>
        <w:br/>
      </w:r>
      <w:r>
        <w:rPr>
          <w:color w:val="64748B"/>
          <w:sz w:val="20"/>
        </w:rPr>
        <w:t>Ví điện tử cho sinh viên</w:t>
      </w:r>
    </w:p>
    <w:p>
      <w:pPr>
        <w:spacing w:after="400"/>
        <w:jc w:val="right"/>
      </w:pPr>
      <w:r>
        <w:rPr>
          <w:color w:val="64748B"/>
          <w:sz w:val="19"/>
        </w:rPr>
        <w:t>Tài liệu đặc tả yêu cầu (SRS)</w:t>
        <w:br/>
        <w:t>Phiên bản 1.0 – 26/10/2026</w:t>
      </w:r>
    </w:p>
    <w:p>
      <w:pPr>
        <w:spacing w:after="400"/>
        <w:pBdr>
          <w:bottom w:val="single" w:sz="12" w:space="1" w:color="4F46E5"/>
        </w:pBdr>
      </w:pPr>
    </w:p>
    <w:p>
      <w:pPr>
        <w:spacing w:after="480"/>
        <w:jc w:val="center"/>
      </w:pPr>
      <w:r>
        <w:rPr>
          <w:b/>
          <w:color w:val="1E293B"/>
          <w:sz w:val="36"/>
        </w:rPr>
        <w:t>TÀI LIỆU ĐẶC TẢ YÊU CẦU PHẦN MỀM (SRS)</w:t>
        <w:br/>
      </w:r>
      <w:r>
        <w:rPr>
          <w:b/>
          <w:color w:val="4F46E5"/>
          <w:sz w:val="32"/>
        </w:rPr>
        <w:t>TÍNH NĂNG HOÀN TIỀN GIAO DỊCH</w:t>
      </w:r>
    </w:p>
    <w:tbl>
      <w:tblPr>
        <w:tblW w:type="auto" w:w="0"/>
        <w:jc w:val="center"/>
        <w:tblLook w:firstColumn="1" w:firstRow="1" w:lastColumn="0" w:lastRow="0" w:noHBand="0" w:noVBand="1" w:val="04A0"/>
      </w:tblPr>
      <w:tblGrid>
        <w:gridCol w:w="9936"/>
      </w:tblGrid>
      <w:tr>
        <w:tc>
          <w:tcPr>
            <w:tcW w:type="dxa" w:w="9792"/>
            <w:shd w:fill="F8FAFC"/>
            <w:tcMar>
              <w:top w:w="150" w:type="dxa"/>
              <w:bottom w:w="150" w:type="dxa"/>
              <w:left w:w="200" w:type="dxa"/>
              <w:right w:w="200" w:type="dxa"/>
            </w:tcMar>
          </w:tcPr>
          <w:p>
            <w:pPr>
              <w:spacing w:after="120"/>
            </w:pPr>
            <w:r>
              <w:rPr>
                <w:b/>
                <w:color w:val="4F46E5"/>
                <w:sz w:val="22"/>
              </w:rPr>
              <w:t>MỤC LỤC</w:t>
            </w:r>
          </w:p>
          <w:p>
            <w:pPr>
              <w:spacing w:after="40"/>
            </w:pPr>
            <w:r>
              <w:rPr>
                <w:color w:val="1E293B"/>
                <w:sz w:val="19"/>
              </w:rPr>
              <w:t>1. GIỚI THIỆU</w:t>
            </w:r>
          </w:p>
          <w:p>
            <w:pPr>
              <w:spacing w:after="40"/>
            </w:pPr>
            <w:r>
              <w:rPr>
                <w:color w:val="1E293B"/>
                <w:sz w:val="19"/>
              </w:rPr>
              <w:t xml:space="preserve">   1.1. Mục đích tài liệu</w:t>
            </w:r>
          </w:p>
          <w:p>
            <w:pPr>
              <w:spacing w:after="40"/>
            </w:pPr>
            <w:r>
              <w:rPr>
                <w:color w:val="1E293B"/>
                <w:sz w:val="19"/>
              </w:rPr>
              <w:t xml:space="preserve">   1.2. Phạm vi hệ thống</w:t>
            </w:r>
          </w:p>
          <w:p>
            <w:pPr>
              <w:spacing w:after="40"/>
            </w:pPr>
            <w:r>
              <w:rPr>
                <w:color w:val="1E293B"/>
                <w:sz w:val="19"/>
              </w:rPr>
              <w:t xml:space="preserve">   1.3. Đối tượng sử dụng</w:t>
            </w:r>
          </w:p>
          <w:p>
            <w:pPr>
              <w:spacing w:after="40"/>
            </w:pPr>
            <w:r>
              <w:rPr>
                <w:color w:val="1E293B"/>
                <w:sz w:val="19"/>
              </w:rPr>
              <w:t xml:space="preserve">   1.4. Thuật ngữ và viết tắt</w:t>
            </w:r>
          </w:p>
          <w:p>
            <w:pPr>
              <w:spacing w:after="40"/>
            </w:pPr>
            <w:r>
              <w:rPr>
                <w:color w:val="1E293B"/>
                <w:sz w:val="19"/>
              </w:rPr>
              <w:t>2. TỔNG QUAN HỆ THỐNG</w:t>
            </w:r>
          </w:p>
          <w:p>
            <w:pPr>
              <w:spacing w:after="40"/>
            </w:pPr>
            <w:r>
              <w:rPr>
                <w:color w:val="1E293B"/>
                <w:sz w:val="19"/>
              </w:rPr>
              <w:t xml:space="preserve">   2.1. Bối cảnh vận hành</w:t>
            </w:r>
          </w:p>
          <w:p>
            <w:pPr>
              <w:spacing w:after="40"/>
            </w:pPr>
            <w:r>
              <w:rPr>
                <w:color w:val="1E293B"/>
                <w:sz w:val="19"/>
              </w:rPr>
              <w:t xml:space="preserve">   2.2. Điều kiện tiên quyết</w:t>
            </w:r>
          </w:p>
          <w:p>
            <w:pPr>
              <w:spacing w:after="40"/>
            </w:pPr>
            <w:r>
              <w:rPr>
                <w:color w:val="1E293B"/>
                <w:sz w:val="19"/>
              </w:rPr>
              <w:t xml:space="preserve">   2.3. Quy trình tổng quát</w:t>
            </w:r>
          </w:p>
          <w:p>
            <w:pPr>
              <w:spacing w:after="40"/>
            </w:pPr>
            <w:r>
              <w:rPr>
                <w:color w:val="1E293B"/>
                <w:sz w:val="19"/>
              </w:rPr>
              <w:t>3. YÊU CẦU CHỨC NĂNG</w:t>
            </w:r>
          </w:p>
          <w:p>
            <w:pPr>
              <w:spacing w:after="40"/>
            </w:pPr>
            <w:r>
              <w:rPr>
                <w:color w:val="1E293B"/>
                <w:sz w:val="19"/>
              </w:rPr>
              <w:t xml:space="preserve">   3.1. FR-01 – Tiếp nhận yêu cầu hoàn tiền</w:t>
            </w:r>
          </w:p>
          <w:p>
            <w:pPr>
              <w:spacing w:after="40"/>
            </w:pPr>
            <w:r>
              <w:rPr>
                <w:color w:val="1E293B"/>
                <w:sz w:val="19"/>
              </w:rPr>
              <w:t xml:space="preserve">   3.2. FR-02 – Kiểm tra điều kiện hoàn tiền</w:t>
            </w:r>
          </w:p>
          <w:p>
            <w:pPr>
              <w:spacing w:after="40"/>
            </w:pPr>
            <w:r>
              <w:rPr>
                <w:color w:val="1E293B"/>
                <w:sz w:val="19"/>
              </w:rPr>
              <w:t xml:space="preserve">   3.3. FR-03 – Tính toán số tiền hoàn</w:t>
            </w:r>
          </w:p>
          <w:p>
            <w:pPr>
              <w:spacing w:after="40"/>
            </w:pPr>
            <w:r>
              <w:rPr>
                <w:color w:val="1E293B"/>
                <w:sz w:val="19"/>
              </w:rPr>
              <w:t xml:space="preserve">   3.4. FR-04 – Thực hiện hoàn tiền và cập nhật trạng thái</w:t>
            </w:r>
          </w:p>
          <w:p>
            <w:pPr>
              <w:spacing w:after="40"/>
            </w:pPr>
            <w:r>
              <w:rPr>
                <w:color w:val="1E293B"/>
                <w:sz w:val="19"/>
              </w:rPr>
              <w:t xml:space="preserve">   3.5. FR-05 – Thông báo kết quả hoàn tiền</w:t>
            </w:r>
          </w:p>
          <w:p>
            <w:pPr>
              <w:spacing w:after="40"/>
            </w:pPr>
            <w:r>
              <w:rPr>
                <w:color w:val="1E293B"/>
                <w:sz w:val="19"/>
              </w:rPr>
              <w:t>4. DỮ LIỆU VÀ QUY TẮC NGHIỆP VỤ</w:t>
            </w:r>
          </w:p>
          <w:p>
            <w:pPr>
              <w:spacing w:after="40"/>
            </w:pPr>
            <w:r>
              <w:rPr>
                <w:color w:val="1E293B"/>
                <w:sz w:val="19"/>
              </w:rPr>
              <w:t xml:space="preserve">   4.1. Cấu trúc dữ liệu</w:t>
            </w:r>
          </w:p>
          <w:p>
            <w:pPr>
              <w:spacing w:after="40"/>
            </w:pPr>
            <w:r>
              <w:rPr>
                <w:color w:val="1E293B"/>
                <w:sz w:val="19"/>
              </w:rPr>
              <w:t xml:space="preserve">   4.2. Quy định trạng thái</w:t>
            </w:r>
          </w:p>
          <w:p>
            <w:pPr>
              <w:spacing w:after="40"/>
            </w:pPr>
            <w:r>
              <w:rPr>
                <w:color w:val="1E293B"/>
                <w:sz w:val="19"/>
              </w:rPr>
              <w:t xml:space="preserve">   4.3. Quy tắc nghiệp vụ</w:t>
            </w:r>
          </w:p>
          <w:p>
            <w:pPr>
              <w:spacing w:after="40"/>
            </w:pPr>
            <w:r>
              <w:rPr>
                <w:color w:val="1E293B"/>
                <w:sz w:val="19"/>
              </w:rPr>
              <w:t xml:space="preserve">   4.4. Bảo mật và phân quyền</w:t>
            </w:r>
          </w:p>
          <w:p>
            <w:pPr>
              <w:spacing w:after="40"/>
            </w:pPr>
            <w:r>
              <w:rPr>
                <w:color w:val="1E293B"/>
                <w:sz w:val="19"/>
              </w:rPr>
              <w:t>5. YÊU CẦU PHI CHỨC NĂNG VÀ KIỂM THỬ</w:t>
            </w:r>
          </w:p>
          <w:p>
            <w:pPr>
              <w:spacing w:after="40"/>
            </w:pPr>
            <w:r>
              <w:rPr>
                <w:color w:val="1E293B"/>
                <w:sz w:val="19"/>
              </w:rPr>
              <w:t xml:space="preserve">   5.1. Hiệu năng</w:t>
            </w:r>
          </w:p>
          <w:p>
            <w:pPr>
              <w:spacing w:after="40"/>
            </w:pPr>
            <w:r>
              <w:rPr>
                <w:color w:val="1E293B"/>
                <w:sz w:val="19"/>
              </w:rPr>
              <w:t xml:space="preserve">   5.2. Độ tin cậy</w:t>
            </w:r>
          </w:p>
          <w:p>
            <w:pPr>
              <w:spacing w:after="40"/>
            </w:pPr>
            <w:r>
              <w:rPr>
                <w:color w:val="1E293B"/>
                <w:sz w:val="19"/>
              </w:rPr>
              <w:t xml:space="preserve">   5.3. Khả năng sử dụng</w:t>
            </w:r>
          </w:p>
          <w:p>
            <w:pPr>
              <w:spacing w:after="40"/>
            </w:pPr>
            <w:r>
              <w:rPr>
                <w:color w:val="1E293B"/>
                <w:sz w:val="19"/>
              </w:rPr>
              <w:t xml:space="preserve">   5.4. Tiêu chí nghiệm thu</w:t>
            </w:r>
          </w:p>
          <w:p>
            <w:pPr>
              <w:spacing w:after="40"/>
            </w:pPr>
            <w:r>
              <w:rPr>
                <w:color w:val="1E293B"/>
                <w:sz w:val="19"/>
              </w:rPr>
              <w:t xml:space="preserve">   5.5. Ma trận kiểm thử</w:t>
            </w:r>
          </w:p>
          <w:p>
            <w:pPr>
              <w:spacing w:after="40"/>
            </w:pPr>
            <w:r>
              <w:rPr>
                <w:color w:val="1E293B"/>
                <w:sz w:val="19"/>
              </w:rPr>
              <w:t xml:space="preserve">   5.6. Rủi ro và biện pháp xử lý</w:t>
            </w:r>
          </w:p>
          <w:p>
            <w:pPr>
              <w:spacing w:after="40"/>
            </w:pPr>
            <w:r>
              <w:rPr>
                <w:color w:val="1E293B"/>
                <w:sz w:val="19"/>
              </w:rPr>
              <w:t xml:space="preserve">   5.7. Điều kiện phát hành</w:t>
            </w:r>
          </w:p>
          <w:p>
            <w:pPr>
              <w:spacing w:after="40"/>
            </w:pPr>
            <w:r>
              <w:rPr>
                <w:color w:val="1E293B"/>
                <w:sz w:val="19"/>
              </w:rPr>
              <w:t>PHỤ LỤC A. CÁC NỘI DUNG CẦN XÁC NHẬN</w:t>
            </w:r>
          </w:p>
          <w:p>
            <w:pPr>
              <w:spacing w:after="40"/>
            </w:pPr>
            <w:r>
              <w:rPr>
                <w:color w:val="1E293B"/>
                <w:sz w:val="19"/>
              </w:rPr>
              <w:t>PHỤ LỤC B. LỊCH SỬ PHIÊN BẢN</w:t>
            </w:r>
          </w:p>
        </w:tc>
      </w:tr>
    </w:tbl>
    <w:p>
      <w:pPr>
        <w:spacing w:after="240"/>
      </w:pPr>
    </w:p>
    <w:p>
      <w:pPr>
        <w:keepNext/>
        <w:spacing w:before="360" w:after="160"/>
      </w:pPr>
      <w:r>
        <w:rPr>
          <w:rFonts w:ascii="Arial" w:hAnsi="Arial"/>
          <w:b/>
          <w:color w:val="4F46E5"/>
          <w:sz w:val="30"/>
        </w:rPr>
        <w:t>1. GIỚI THIỆU</w:t>
      </w:r>
    </w:p>
    <w:p>
      <w:pPr>
        <w:keepNext/>
        <w:spacing w:before="280" w:after="120"/>
      </w:pPr>
      <w:r>
        <w:rPr>
          <w:rFonts w:ascii="Arial" w:hAnsi="Arial"/>
          <w:b/>
          <w:color w:val="1E293B"/>
          <w:sz w:val="24"/>
        </w:rPr>
        <w:t>1.1. Mục đích tài liệu</w:t>
      </w:r>
    </w:p>
    <w:p>
      <w:pPr>
        <w:spacing w:after="80" w:line="276" w:lineRule="auto"/>
      </w:pPr>
      <w:r>
        <w:rPr>
          <w:color w:val="1E293B"/>
        </w:rPr>
        <w:t>Tài liệu đặc tả yêu cầu phần mềm (Software Requirements Specification – SRS) được xây dựng nhằm xác định các yêu cầu chức năng và phi chức năng của tính năng hoàn tiền trên hệ thống ví điện tử PayKX.</w:t>
      </w:r>
    </w:p>
    <w:p>
      <w:pPr>
        <w:spacing w:after="80" w:line="276" w:lineRule="auto"/>
      </w:pPr>
      <w:r>
        <w:rPr>
          <w:color w:val="1E293B"/>
        </w:rPr>
        <w:t>Tài liệu cung cấp cơ sở thống nhất giữa nhóm phát triển, kiểm thử, vận hành và các bên liên quan trong quá trình thiết kế, triển khai và đánh giá chất lượng phần mềm. Các yêu cầu được mô tả cụ thể để có thể kiểm tra và xác nhận trong quá trình nghiệm thu.</w:t>
      </w:r>
    </w:p>
    <w:p>
      <w:pPr>
        <w:keepNext/>
        <w:spacing w:before="280" w:after="120"/>
      </w:pPr>
      <w:r>
        <w:rPr>
          <w:rFonts w:ascii="Arial" w:hAnsi="Arial"/>
          <w:b/>
          <w:color w:val="1E293B"/>
          <w:sz w:val="24"/>
        </w:rPr>
        <w:t>1.2. Phạm vi hệ thống</w:t>
      </w:r>
    </w:p>
    <w:p>
      <w:pPr>
        <w:spacing w:after="80" w:line="276" w:lineRule="auto"/>
      </w:pPr>
      <w:r>
        <w:rPr>
          <w:color w:val="1E293B"/>
        </w:rPr>
        <w:t>PayKX là hệ thống ví điện tử định hướng phục vụ sinh viên, hỗ trợ quản lý giao dịch thanh toán và theo dõi dòng tiền cá nhân.</w:t>
      </w:r>
    </w:p>
    <w:p>
      <w:pPr>
        <w:spacing w:after="80" w:line="276" w:lineRule="auto"/>
      </w:pPr>
      <w:r>
        <w:rPr>
          <w:color w:val="1E293B"/>
        </w:rPr>
        <w:t>Trong phạm vi tài liệu này, chức năng hoàn tiền cho phép người dùng gửi yêu cầu hoàn tiền đối với giao dịch đủ điều kiện. Hệ thống kiểm tra thông tin giao dịch gốc, xác định số tiền có thể hoàn, ghi nhận trạng thái xử lý và thông báo kết quả.</w:t>
      </w:r>
    </w:p>
    <w:p>
      <w:pPr>
        <w:spacing w:after="80" w:line="276" w:lineRule="auto"/>
      </w:pPr>
      <w:r>
        <w:rPr>
          <w:color w:val="1E293B"/>
        </w:rPr>
        <w:t>Các chức năng quản lý tài khoản ngân hàng, giải quyết tranh chấp phức tạp và xử lý khiếu nại ngoài hệ thống không thuộc phạm vi đặc tả này.</w:t>
      </w:r>
    </w:p>
    <w:p>
      <w:pPr>
        <w:keepNext/>
        <w:spacing w:before="280" w:after="120"/>
      </w:pPr>
      <w:r>
        <w:rPr>
          <w:rFonts w:ascii="Arial" w:hAnsi="Arial"/>
          <w:b/>
          <w:color w:val="1E293B"/>
          <w:sz w:val="24"/>
        </w:rPr>
        <w:t>1.3. Đối tượng sử dụng</w:t>
      </w:r>
    </w:p>
    <w:p>
      <w:pPr>
        <w:spacing w:after="80" w:line="276" w:lineRule="auto"/>
      </w:pPr>
      <w:r>
        <w:rPr>
          <w:color w:val="1E293B"/>
        </w:rPr>
        <w:t>• Người dùng: sinh viên sử dụng ví điện tử PayKX.</w:t>
      </w:r>
    </w:p>
    <w:p>
      <w:pPr>
        <w:spacing w:after="80" w:line="276" w:lineRule="auto"/>
      </w:pPr>
      <w:r>
        <w:rPr>
          <w:color w:val="1E293B"/>
        </w:rPr>
        <w:t>• Nhân viên vận hành: theo dõi và xử lý các yêu cầu hoàn tiền.</w:t>
      </w:r>
    </w:p>
    <w:p>
      <w:pPr>
        <w:spacing w:after="80" w:line="276" w:lineRule="auto"/>
      </w:pPr>
      <w:r>
        <w:rPr>
          <w:color w:val="1E293B"/>
        </w:rPr>
        <w:t>• Bộ phận chăm sóc khách hàng: hỗ trợ người dùng tra cứu trạng thái.</w:t>
      </w:r>
    </w:p>
    <w:p>
      <w:pPr>
        <w:spacing w:after="80" w:line="276" w:lineRule="auto"/>
      </w:pPr>
      <w:r>
        <w:rPr>
          <w:color w:val="1E293B"/>
        </w:rPr>
        <w:t>• Nhóm phát triển: xây dựng và bảo trì hệ thống.</w:t>
      </w:r>
    </w:p>
    <w:p>
      <w:pPr>
        <w:spacing w:after="80" w:line="276" w:lineRule="auto"/>
      </w:pPr>
      <w:r>
        <w:rPr>
          <w:color w:val="1E293B"/>
        </w:rPr>
        <w:t>• Nhóm kiểm thử: đánh giá mức độ đáp ứng yêu cầu.</w:t>
      </w:r>
    </w:p>
    <w:p>
      <w:pPr>
        <w:keepNext/>
        <w:spacing w:before="280" w:after="120"/>
      </w:pPr>
      <w:r>
        <w:rPr>
          <w:rFonts w:ascii="Arial" w:hAnsi="Arial"/>
          <w:b/>
          <w:color w:val="1E293B"/>
          <w:sz w:val="24"/>
        </w:rPr>
        <w:t>1.4. Thuật ngữ và viết tắt</w:t>
      </w:r>
    </w:p>
    <w:tbl>
      <w:tblPr>
        <w:tblW w:type="auto" w:w="0"/>
        <w:jc w:val="center"/>
        <w:tblLook w:firstColumn="1" w:firstRow="1" w:lastColumn="0" w:lastRow="0" w:noHBand="0" w:noVBand="1" w:val="04A0"/>
      </w:tblPr>
      <w:tblGrid>
        <w:gridCol w:w="4968"/>
        <w:gridCol w:w="4968"/>
      </w:tblGrid>
      <w:tr>
        <w:tc>
          <w:tcPr>
            <w:tcW w:type="dxa" w:w="2880"/>
            <w:shd w:fill="4F46E5"/>
            <w:tcMar>
              <w:top w:w="120" w:type="dxa"/>
              <w:bottom w:w="120" w:type="dxa"/>
              <w:left w:w="150" w:type="dxa"/>
              <w:right w:w="150" w:type="dxa"/>
            </w:tcMar>
          </w:tcPr>
          <w:p>
            <w:pPr>
              <w:jc w:val="left"/>
            </w:pPr>
            <w:r>
              <w:rPr>
                <w:b/>
                <w:color w:val="FFFFFF"/>
                <w:sz w:val="20"/>
              </w:rPr>
              <w:t>Thuật ngữ</w:t>
            </w:r>
          </w:p>
        </w:tc>
        <w:tc>
          <w:tcPr>
            <w:tcW w:type="dxa" w:w="6912"/>
            <w:shd w:fill="4F46E5"/>
            <w:tcMar>
              <w:top w:w="120" w:type="dxa"/>
              <w:bottom w:w="120" w:type="dxa"/>
              <w:left w:w="150" w:type="dxa"/>
              <w:right w:w="150" w:type="dxa"/>
            </w:tcMar>
          </w:tcPr>
          <w:p>
            <w:pPr>
              <w:jc w:val="left"/>
            </w:pPr>
            <w:r>
              <w:rPr>
                <w:b/>
                <w:color w:val="FFFFFF"/>
                <w:sz w:val="20"/>
              </w:rPr>
              <w:t>Giải thích</w:t>
            </w:r>
          </w:p>
        </w:tc>
      </w:tr>
      <w:tr>
        <w:tc>
          <w:tcPr>
            <w:tcW w:type="dxa" w:w="2880"/>
            <w:shd w:fill="FFFFFF"/>
            <w:tcMar>
              <w:top w:w="100" w:type="dxa"/>
              <w:bottom w:w="100" w:type="dxa"/>
              <w:left w:w="150" w:type="dxa"/>
              <w:right w:w="150" w:type="dxa"/>
            </w:tcMar>
          </w:tcPr>
          <w:p>
            <w:pPr>
              <w:jc w:val="left"/>
            </w:pPr>
            <w:r>
              <w:rPr>
                <w:color w:val="1E293B"/>
                <w:sz w:val="19"/>
              </w:rPr>
              <w:t>SRS</w:t>
            </w:r>
          </w:p>
        </w:tc>
        <w:tc>
          <w:tcPr>
            <w:tcW w:type="dxa" w:w="6912"/>
            <w:shd w:fill="FFFFFF"/>
            <w:tcMar>
              <w:top w:w="100" w:type="dxa"/>
              <w:bottom w:w="100" w:type="dxa"/>
              <w:left w:w="150" w:type="dxa"/>
              <w:right w:w="150" w:type="dxa"/>
            </w:tcMar>
          </w:tcPr>
          <w:p>
            <w:pPr>
              <w:jc w:val="left"/>
            </w:pPr>
            <w:r>
              <w:rPr>
                <w:color w:val="1E293B"/>
                <w:sz w:val="19"/>
              </w:rPr>
              <w:t>Tài liệu đặc tả yêu cầu phần mềm</w:t>
            </w:r>
          </w:p>
        </w:tc>
      </w:tr>
      <w:tr>
        <w:tc>
          <w:tcPr>
            <w:tcW w:type="dxa" w:w="2880"/>
            <w:shd w:fill="F8FAFC"/>
            <w:tcMar>
              <w:top w:w="100" w:type="dxa"/>
              <w:bottom w:w="100" w:type="dxa"/>
              <w:left w:w="150" w:type="dxa"/>
              <w:right w:w="150" w:type="dxa"/>
            </w:tcMar>
          </w:tcPr>
          <w:p>
            <w:pPr>
              <w:jc w:val="left"/>
            </w:pPr>
            <w:r>
              <w:rPr>
                <w:color w:val="1E293B"/>
                <w:sz w:val="19"/>
              </w:rPr>
              <w:t>FR</w:t>
            </w:r>
          </w:p>
        </w:tc>
        <w:tc>
          <w:tcPr>
            <w:tcW w:type="dxa" w:w="6912"/>
            <w:shd w:fill="F8FAFC"/>
            <w:tcMar>
              <w:top w:w="100" w:type="dxa"/>
              <w:bottom w:w="100" w:type="dxa"/>
              <w:left w:w="150" w:type="dxa"/>
              <w:right w:w="150" w:type="dxa"/>
            </w:tcMar>
          </w:tcPr>
          <w:p>
            <w:pPr>
              <w:jc w:val="left"/>
            </w:pPr>
            <w:r>
              <w:rPr>
                <w:color w:val="1E293B"/>
                <w:sz w:val="19"/>
              </w:rPr>
              <w:t>Yêu cầu chức năng (Functional Requirement)</w:t>
            </w:r>
          </w:p>
        </w:tc>
      </w:tr>
      <w:tr>
        <w:tc>
          <w:tcPr>
            <w:tcW w:type="dxa" w:w="2880"/>
            <w:shd w:fill="FFFFFF"/>
            <w:tcMar>
              <w:top w:w="100" w:type="dxa"/>
              <w:bottom w:w="100" w:type="dxa"/>
              <w:left w:w="150" w:type="dxa"/>
              <w:right w:w="150" w:type="dxa"/>
            </w:tcMar>
          </w:tcPr>
          <w:p>
            <w:pPr>
              <w:jc w:val="left"/>
            </w:pPr>
            <w:r>
              <w:rPr>
                <w:color w:val="1E293B"/>
                <w:sz w:val="19"/>
              </w:rPr>
              <w:t>NFR</w:t>
            </w:r>
          </w:p>
        </w:tc>
        <w:tc>
          <w:tcPr>
            <w:tcW w:type="dxa" w:w="6912"/>
            <w:shd w:fill="FFFFFF"/>
            <w:tcMar>
              <w:top w:w="100" w:type="dxa"/>
              <w:bottom w:w="100" w:type="dxa"/>
              <w:left w:w="150" w:type="dxa"/>
              <w:right w:w="150" w:type="dxa"/>
            </w:tcMar>
          </w:tcPr>
          <w:p>
            <w:pPr>
              <w:jc w:val="left"/>
            </w:pPr>
            <w:r>
              <w:rPr>
                <w:color w:val="1E293B"/>
                <w:sz w:val="19"/>
              </w:rPr>
              <w:t>Yêu cầu phi chức năng (Non-Functional Requirement)</w:t>
            </w:r>
          </w:p>
        </w:tc>
      </w:tr>
      <w:tr>
        <w:tc>
          <w:tcPr>
            <w:tcW w:type="dxa" w:w="2880"/>
            <w:shd w:fill="F8FAFC"/>
            <w:tcMar>
              <w:top w:w="100" w:type="dxa"/>
              <w:bottom w:w="100" w:type="dxa"/>
              <w:left w:w="150" w:type="dxa"/>
              <w:right w:w="150" w:type="dxa"/>
            </w:tcMar>
          </w:tcPr>
          <w:p>
            <w:pPr>
              <w:jc w:val="left"/>
            </w:pPr>
            <w:r>
              <w:rPr>
                <w:color w:val="1E293B"/>
                <w:sz w:val="19"/>
              </w:rPr>
              <w:t>API</w:t>
            </w:r>
          </w:p>
        </w:tc>
        <w:tc>
          <w:tcPr>
            <w:tcW w:type="dxa" w:w="6912"/>
            <w:shd w:fill="F8FAFC"/>
            <w:tcMar>
              <w:top w:w="100" w:type="dxa"/>
              <w:bottom w:w="100" w:type="dxa"/>
              <w:left w:w="150" w:type="dxa"/>
              <w:right w:w="150" w:type="dxa"/>
            </w:tcMar>
          </w:tcPr>
          <w:p>
            <w:pPr>
              <w:jc w:val="left"/>
            </w:pPr>
            <w:r>
              <w:rPr>
                <w:color w:val="1E293B"/>
                <w:sz w:val="19"/>
              </w:rPr>
              <w:t>Giao diện lập trình ứng dụng (Application Programming Interface)</w:t>
            </w:r>
          </w:p>
        </w:tc>
      </w:tr>
      <w:tr>
        <w:tc>
          <w:tcPr>
            <w:tcW w:type="dxa" w:w="2880"/>
            <w:shd w:fill="FFFFFF"/>
            <w:tcMar>
              <w:top w:w="100" w:type="dxa"/>
              <w:bottom w:w="100" w:type="dxa"/>
              <w:left w:w="150" w:type="dxa"/>
              <w:right w:w="150" w:type="dxa"/>
            </w:tcMar>
          </w:tcPr>
          <w:p>
            <w:pPr>
              <w:jc w:val="left"/>
            </w:pPr>
            <w:r>
              <w:rPr>
                <w:color w:val="1E293B"/>
                <w:sz w:val="19"/>
              </w:rPr>
              <w:t>ID</w:t>
            </w:r>
          </w:p>
        </w:tc>
        <w:tc>
          <w:tcPr>
            <w:tcW w:type="dxa" w:w="6912"/>
            <w:shd w:fill="FFFFFF"/>
            <w:tcMar>
              <w:top w:w="100" w:type="dxa"/>
              <w:bottom w:w="100" w:type="dxa"/>
              <w:left w:w="150" w:type="dxa"/>
              <w:right w:w="150" w:type="dxa"/>
            </w:tcMar>
          </w:tcPr>
          <w:p>
            <w:pPr>
              <w:jc w:val="left"/>
            </w:pPr>
            <w:r>
              <w:rPr>
                <w:color w:val="1E293B"/>
                <w:sz w:val="19"/>
              </w:rPr>
              <w:t>Mã định danh (Identifier)</w:t>
            </w:r>
          </w:p>
        </w:tc>
      </w:tr>
      <w:tr>
        <w:tc>
          <w:tcPr>
            <w:tcW w:type="dxa" w:w="2880"/>
            <w:shd w:fill="F8FAFC"/>
            <w:tcMar>
              <w:top w:w="100" w:type="dxa"/>
              <w:bottom w:w="100" w:type="dxa"/>
              <w:left w:w="150" w:type="dxa"/>
              <w:right w:w="150" w:type="dxa"/>
            </w:tcMar>
          </w:tcPr>
          <w:p>
            <w:pPr>
              <w:jc w:val="left"/>
            </w:pPr>
            <w:r>
              <w:rPr>
                <w:color w:val="1E293B"/>
                <w:sz w:val="19"/>
              </w:rPr>
              <w:t>SLA</w:t>
            </w:r>
          </w:p>
        </w:tc>
        <w:tc>
          <w:tcPr>
            <w:tcW w:type="dxa" w:w="6912"/>
            <w:shd w:fill="F8FAFC"/>
            <w:tcMar>
              <w:top w:w="100" w:type="dxa"/>
              <w:bottom w:w="100" w:type="dxa"/>
              <w:left w:w="150" w:type="dxa"/>
              <w:right w:w="150" w:type="dxa"/>
            </w:tcMar>
          </w:tcPr>
          <w:p>
            <w:pPr>
              <w:jc w:val="left"/>
            </w:pPr>
            <w:r>
              <w:rPr>
                <w:color w:val="1E293B"/>
                <w:sz w:val="19"/>
              </w:rPr>
              <w:t>Cam kết mức dịch vụ (Service Level Agreement)</w:t>
            </w:r>
          </w:p>
        </w:tc>
      </w:tr>
      <w:tr>
        <w:tc>
          <w:tcPr>
            <w:tcW w:type="dxa" w:w="2880"/>
            <w:shd w:fill="FFFFFF"/>
            <w:tcMar>
              <w:top w:w="100" w:type="dxa"/>
              <w:bottom w:w="100" w:type="dxa"/>
              <w:left w:w="150" w:type="dxa"/>
              <w:right w:w="150" w:type="dxa"/>
            </w:tcMar>
          </w:tcPr>
          <w:p>
            <w:pPr>
              <w:jc w:val="left"/>
            </w:pPr>
            <w:r>
              <w:rPr>
                <w:color w:val="1E293B"/>
                <w:sz w:val="19"/>
              </w:rPr>
              <w:t>Đối tác thanh toán</w:t>
            </w:r>
          </w:p>
        </w:tc>
        <w:tc>
          <w:tcPr>
            <w:tcW w:type="dxa" w:w="6912"/>
            <w:shd w:fill="FFFFFF"/>
            <w:tcMar>
              <w:top w:w="100" w:type="dxa"/>
              <w:bottom w:w="100" w:type="dxa"/>
              <w:left w:w="150" w:type="dxa"/>
              <w:right w:w="150" w:type="dxa"/>
            </w:tcMar>
          </w:tcPr>
          <w:p>
            <w:pPr>
              <w:jc w:val="left"/>
            </w:pPr>
            <w:r>
              <w:rPr>
                <w:color w:val="1E293B"/>
                <w:sz w:val="19"/>
              </w:rPr>
              <w:t>Ngân hàng hoặc đơn vị xử lý giao dịch liên kết</w:t>
            </w:r>
          </w:p>
        </w:tc>
      </w:tr>
    </w:tbl>
    <w:p>
      <w:pPr>
        <w:keepNext/>
        <w:spacing w:before="360" w:after="160"/>
      </w:pPr>
      <w:r>
        <w:rPr>
          <w:rFonts w:ascii="Arial" w:hAnsi="Arial"/>
          <w:b/>
          <w:color w:val="4F46E5"/>
          <w:sz w:val="30"/>
        </w:rPr>
        <w:t>2. TỔNG QUAN HỆ THỐNG</w:t>
      </w:r>
    </w:p>
    <w:p>
      <w:pPr>
        <w:keepNext/>
        <w:spacing w:before="280" w:after="120"/>
      </w:pPr>
      <w:r>
        <w:rPr>
          <w:rFonts w:ascii="Arial" w:hAnsi="Arial"/>
          <w:b/>
          <w:color w:val="1E293B"/>
          <w:sz w:val="24"/>
        </w:rPr>
        <w:t>2.1. Bối cảnh vận hành</w:t>
      </w:r>
    </w:p>
    <w:p>
      <w:pPr>
        <w:spacing w:after="80" w:line="276" w:lineRule="auto"/>
      </w:pPr>
      <w:r>
        <w:rPr>
          <w:color w:val="1E293B"/>
        </w:rPr>
        <w:t>Trong quá trình thanh toán, người dùng có thể gặp trường hợp giao dịch bị tính sai số tiền, thanh toán trùng hoặc phát sinh lỗi cần xem xét hoàn tiền. Nếu việc tiếp nhận và xử lý yêu cầu không được quản lý tập trung, hệ thống có nguy cơ phát sinh sai lệch dữ liệu, xử lý lặp hoặc thông báo kết quả không chính xác.</w:t>
      </w:r>
    </w:p>
    <w:p>
      <w:pPr>
        <w:spacing w:after="80" w:line="276" w:lineRule="auto"/>
      </w:pPr>
      <w:r>
        <w:rPr>
          <w:color w:val="1E293B"/>
        </w:rPr>
        <w:t>PayKX cung cấp quy trình hoàn tiền có kiểm soát, trong đó mỗi yêu cầu được gắn mã định danh riêng, liên kết với giao dịch gốc và lưu lại lịch sử xử lý. Dữ liệu hoàn tiền được đối chiếu với thông tin do đối tác thanh toán cung cấp.</w:t>
      </w:r>
    </w:p>
    <w:p>
      <w:pPr>
        <w:keepNext/>
        <w:spacing w:before="280" w:after="120"/>
      </w:pPr>
      <w:r>
        <w:rPr>
          <w:rFonts w:ascii="Arial" w:hAnsi="Arial"/>
          <w:b/>
          <w:color w:val="1E293B"/>
          <w:sz w:val="24"/>
        </w:rPr>
        <w:t>2.2. Điều kiện tiên quyết</w:t>
      </w:r>
    </w:p>
    <w:p>
      <w:pPr>
        <w:spacing w:after="80" w:line="276" w:lineRule="auto"/>
      </w:pPr>
      <w:r>
        <w:rPr>
          <w:color w:val="1E293B"/>
        </w:rPr>
        <w:t>• Người dùng đã đăng nhập và được xác thực.</w:t>
      </w:r>
    </w:p>
    <w:p>
      <w:pPr>
        <w:spacing w:after="80" w:line="276" w:lineRule="auto"/>
      </w:pPr>
      <w:r>
        <w:rPr>
          <w:color w:val="1E293B"/>
        </w:rPr>
        <w:t>• Giao dịch gốc có mã định danh hợp lệ.</w:t>
      </w:r>
    </w:p>
    <w:p>
      <w:pPr>
        <w:spacing w:after="80" w:line="276" w:lineRule="auto"/>
      </w:pPr>
      <w:r>
        <w:rPr>
          <w:color w:val="1E293B"/>
        </w:rPr>
        <w:t>• Hệ thống có quyền truy cập dữ liệu giao dịch cần kiểm tra.</w:t>
      </w:r>
    </w:p>
    <w:p>
      <w:pPr>
        <w:spacing w:after="80" w:line="276" w:lineRule="auto"/>
      </w:pPr>
      <w:r>
        <w:rPr>
          <w:color w:val="1E293B"/>
        </w:rPr>
        <w:t>• Chính sách hoàn tiền đã được cấu hình và phê duyệt.</w:t>
      </w:r>
    </w:p>
    <w:p>
      <w:pPr>
        <w:spacing w:after="80" w:line="276" w:lineRule="auto"/>
      </w:pPr>
      <w:r>
        <w:rPr>
          <w:color w:val="1E293B"/>
        </w:rPr>
        <w:t>• Kết nối với đối tác thanh toán đáp ứng điều kiện xử lý.</w:t>
      </w:r>
    </w:p>
    <w:p>
      <w:pPr>
        <w:spacing w:after="80" w:line="276" w:lineRule="auto"/>
      </w:pPr>
      <w:r>
        <w:rPr>
          <w:color w:val="1E293B"/>
        </w:rPr>
        <w:t>Nếu một điều kiện chưa được đáp ứng, hệ thống phải thông báo phù hợp hoặc chuyển yêu cầu sang trạng thái chờ kiểm tra.</w:t>
      </w:r>
    </w:p>
    <w:p>
      <w:pPr>
        <w:keepNext/>
        <w:spacing w:before="280" w:after="120"/>
      </w:pPr>
      <w:r>
        <w:rPr>
          <w:rFonts w:ascii="Arial" w:hAnsi="Arial"/>
          <w:b/>
          <w:color w:val="1E293B"/>
          <w:sz w:val="24"/>
        </w:rPr>
        <w:t>2.3. Quy trình tổng quát</w:t>
      </w:r>
    </w:p>
    <w:p>
      <w:pPr>
        <w:spacing w:after="80" w:line="276" w:lineRule="auto"/>
      </w:pPr>
      <w:r>
        <w:rPr>
          <w:color w:val="1E293B"/>
        </w:rPr>
        <w:t>Quy trình hoàn tiền gồm các bước: người dùng lựa chọn giao dịch, nhập lý do hoàn tiền, gửi yêu cầu, hệ thống kiểm tra điều kiện, chuyển yêu cầu đến bộ phận hoặc dịch vụ có thẩm quyền, thực hiện hoàn tiền và thông báo kết quả.</w:t>
      </w:r>
    </w:p>
    <w:p>
      <w:pPr>
        <w:spacing w:after="80" w:line="276" w:lineRule="auto"/>
      </w:pPr>
      <w:r>
        <w:rPr>
          <w:color w:val="1E293B"/>
        </w:rPr>
        <w:t>Mọi bước xử lý phải liên kết với mã yêu cầu hoàn tiền nhằm phục vụ tra cứu, kiểm thử và đối soát.</w:t>
      </w:r>
    </w:p>
    <w:p>
      <w:pPr>
        <w:keepNext/>
        <w:spacing w:before="360" w:after="160"/>
      </w:pPr>
      <w:r>
        <w:rPr>
          <w:rFonts w:ascii="Arial" w:hAnsi="Arial"/>
          <w:b/>
          <w:color w:val="4F46E5"/>
          <w:sz w:val="30"/>
        </w:rPr>
        <w:t>3. YÊU CẦU CHỨC NĂNG</w:t>
      </w:r>
    </w:p>
    <w:p>
      <w:pPr>
        <w:keepNext/>
        <w:spacing w:before="280" w:after="120"/>
      </w:pPr>
      <w:r>
        <w:rPr>
          <w:rFonts w:ascii="Arial" w:hAnsi="Arial"/>
          <w:b/>
          <w:color w:val="1E293B"/>
          <w:sz w:val="24"/>
        </w:rPr>
        <w:t>3.1. FR-01 – Tiếp nhận yêu cầu hoàn tiền</w:t>
      </w:r>
    </w:p>
    <w:p>
      <w:pPr>
        <w:spacing w:after="80" w:line="276" w:lineRule="auto"/>
      </w:pPr>
      <w:r>
        <w:rPr>
          <w:b/>
          <w:color w:val="1E293B"/>
        </w:rPr>
        <w:t xml:space="preserve">Mô tả: </w:t>
      </w:r>
      <w:r>
        <w:rPr>
          <w:color w:val="1E293B"/>
        </w:rPr>
        <w:t>Hệ thống cho phép người dùng tạo yêu cầu hoàn tiền đối với giao dịch đáp ứng chính sách hiện hành.</w:t>
      </w:r>
    </w:p>
    <w:p>
      <w:pPr>
        <w:spacing w:after="80" w:line="276" w:lineRule="auto"/>
      </w:pPr>
      <w:r>
        <w:rPr>
          <w:b/>
          <w:color w:val="1E293B"/>
        </w:rPr>
        <w:t xml:space="preserve">Đầu vào: </w:t>
      </w:r>
      <w:r>
        <w:rPr>
          <w:color w:val="1E293B"/>
        </w:rPr>
        <w:t>Mã giao dịch gốc, lý do hoàn tiền, số tiền đề nghị hoàn và thông tin xác thực người dùng.</w:t>
      </w:r>
    </w:p>
    <w:p>
      <w:pPr>
        <w:spacing w:after="80" w:line="276" w:lineRule="auto"/>
      </w:pPr>
      <w:r>
        <w:rPr>
          <w:b/>
          <w:color w:val="1E293B"/>
        </w:rPr>
        <w:t xml:space="preserve">Xử lý: </w:t>
      </w:r>
      <w:r>
        <w:rPr>
          <w:color w:val="1E293B"/>
        </w:rPr>
        <w:t>Kiểm tra quyền sở hữu giao dịch → Xác minh giao dịch tồn tại &amp; trạng thái phù hợp → Kiểm tra số tiền đề nghị hoàn → Tạo mã yêu cầu duy nhất → Ghi nhận thời điểm &amp; thông tin.</w:t>
      </w:r>
    </w:p>
    <w:p>
      <w:pPr>
        <w:spacing w:after="80" w:line="276" w:lineRule="auto"/>
      </w:pPr>
      <w:r>
        <w:rPr>
          <w:b/>
          <w:color w:val="1E293B"/>
        </w:rPr>
        <w:t xml:space="preserve">Đầu ra: </w:t>
      </w:r>
      <w:r>
        <w:rPr>
          <w:color w:val="1E293B"/>
        </w:rPr>
        <w:t>Mã yêu cầu, số tiền đề nghị hoàn và trạng thái tiếp nhận.</w:t>
      </w:r>
    </w:p>
    <w:p>
      <w:pPr>
        <w:spacing w:after="80" w:line="276" w:lineRule="auto"/>
      </w:pPr>
      <w:r>
        <w:rPr>
          <w:b/>
          <w:color w:val="1E293B"/>
        </w:rPr>
        <w:t xml:space="preserve">Ngoại lệ: </w:t>
      </w:r>
      <w:r>
        <w:rPr>
          <w:color w:val="1E293B"/>
        </w:rPr>
        <w:t>Hệ thống từ chối yêu cầu nếu giao dịch không tồn tại, người dùng không có quyền truy cập hoặc giao dịch không đủ điều kiện hoàn tiền.</w:t>
      </w:r>
    </w:p>
    <w:p>
      <w:pPr>
        <w:spacing w:after="80" w:line="276" w:lineRule="auto"/>
      </w:pPr>
      <w:r>
        <w:rPr>
          <w:b/>
          <w:color w:val="1E293B"/>
        </w:rPr>
        <w:t xml:space="preserve">Tiêu chí chấp nhận: </w:t>
      </w:r>
      <w:r>
        <w:rPr>
          <w:color w:val="1E293B"/>
        </w:rPr>
        <w:t>Mỗi yêu cầu hợp lệ được ghi nhận một lần và có mã định danh duy nhất.</w:t>
      </w:r>
    </w:p>
    <w:p>
      <w:pPr>
        <w:keepNext/>
        <w:spacing w:before="280" w:after="120"/>
      </w:pPr>
      <w:r>
        <w:rPr>
          <w:rFonts w:ascii="Arial" w:hAnsi="Arial"/>
          <w:b/>
          <w:color w:val="1E293B"/>
          <w:sz w:val="24"/>
        </w:rPr>
        <w:t>3.2. FR-02 – Kiểm tra điều kiện hoàn tiền</w:t>
      </w:r>
    </w:p>
    <w:p>
      <w:pPr>
        <w:spacing w:after="80" w:line="276" w:lineRule="auto"/>
      </w:pPr>
      <w:r>
        <w:rPr>
          <w:b/>
          <w:color w:val="1E293B"/>
        </w:rPr>
        <w:t xml:space="preserve">Mô tả: </w:t>
      </w:r>
      <w:r>
        <w:rPr>
          <w:color w:val="1E293B"/>
        </w:rPr>
        <w:t>Hệ thống xác định yêu cầu có đáp ứng các điều kiện hoàn tiền hay không.</w:t>
      </w:r>
    </w:p>
    <w:p>
      <w:pPr>
        <w:spacing w:after="80" w:line="276" w:lineRule="auto"/>
      </w:pPr>
      <w:r>
        <w:rPr>
          <w:b/>
          <w:color w:val="1E293B"/>
        </w:rPr>
        <w:t xml:space="preserve">Xử lý: </w:t>
      </w:r>
      <w:r>
        <w:rPr>
          <w:color w:val="1E293B"/>
        </w:rPr>
        <w:t>Kiểm tra trạng thái giao dịch gốc → Kiểm tra thời hạn gửi yêu cầu → Xác định số tiền đã hoàn thành công trước đó → Đối chiếu dữ liệu đối tác → Chuyển trạng thái phù hợp.</w:t>
      </w:r>
    </w:p>
    <w:p>
      <w:pPr>
        <w:spacing w:after="80" w:line="276" w:lineRule="auto"/>
      </w:pPr>
      <w:r>
        <w:rPr>
          <w:b/>
          <w:color w:val="1E293B"/>
        </w:rPr>
        <w:t xml:space="preserve">Đầu ra: </w:t>
      </w:r>
      <w:r>
        <w:rPr>
          <w:color w:val="1E293B"/>
        </w:rPr>
        <w:t>Kết quả kiểm tra gồm đủ điều kiện, không đủ điều kiện hoặc cần kiểm tra bổ sung.</w:t>
      </w:r>
    </w:p>
    <w:p>
      <w:pPr>
        <w:spacing w:after="80" w:line="276" w:lineRule="auto"/>
      </w:pPr>
      <w:r>
        <w:rPr>
          <w:b/>
          <w:color w:val="1E293B"/>
        </w:rPr>
        <w:t xml:space="preserve">Tiêu chí chấp nhận: </w:t>
      </w:r>
      <w:r>
        <w:rPr>
          <w:color w:val="1E293B"/>
        </w:rPr>
        <w:t>Hệ thống không tự động phê duyệt khi dữ liệu quan trọng chưa được xác minh.</w:t>
      </w:r>
    </w:p>
    <w:p>
      <w:pPr>
        <w:keepNext/>
        <w:spacing w:before="280" w:after="120"/>
      </w:pPr>
      <w:r>
        <w:rPr>
          <w:rFonts w:ascii="Arial" w:hAnsi="Arial"/>
          <w:b/>
          <w:color w:val="1E293B"/>
          <w:sz w:val="24"/>
        </w:rPr>
        <w:t>3.3. FR-03 – Tính toán số tiền hoàn</w:t>
      </w:r>
    </w:p>
    <w:p>
      <w:pPr>
        <w:spacing w:after="80" w:line="276" w:lineRule="auto"/>
      </w:pPr>
      <w:r>
        <w:rPr>
          <w:b/>
          <w:color w:val="1E293B"/>
        </w:rPr>
        <w:t xml:space="preserve">Mô tả: </w:t>
      </w:r>
      <w:r>
        <w:rPr>
          <w:color w:val="1E293B"/>
        </w:rPr>
        <w:t>Hệ thống xác định số tiền tối đa được phép hoàn cho giao dịch. Số tiền còn có thể hoàn được tính theo công thức:</w:t>
      </w:r>
    </w:p>
    <w:tbl>
      <w:tblPr>
        <w:tblW w:type="auto" w:w="0"/>
        <w:jc w:val="center"/>
        <w:tblLook w:firstColumn="1" w:firstRow="1" w:lastColumn="0" w:lastRow="0" w:noHBand="0" w:noVBand="1" w:val="04A0"/>
      </w:tblPr>
      <w:tblGrid>
        <w:gridCol w:w="9936"/>
      </w:tblGrid>
      <w:tr>
        <w:tc>
          <w:tcPr>
            <w:tcW w:type="dxa" w:w="9792"/>
            <w:shd w:fill="EEF2FF"/>
            <w:tcMar>
              <w:top w:w="100" w:type="dxa"/>
              <w:bottom w:w="100" w:type="dxa"/>
              <w:left w:w="150" w:type="dxa"/>
              <w:right w:w="150" w:type="dxa"/>
            </w:tcMar>
          </w:tcPr>
          <w:p>
            <w:pPr>
              <w:jc w:val="center"/>
            </w:pPr>
            <w:r>
              <w:rPr>
                <w:b/>
                <w:color w:val="4F46E5"/>
                <w:sz w:val="19"/>
              </w:rPr>
              <w:t>Số tiền còn có thể hoàn = Số tiền được phép hoàn theo chính sách − Tổng số tiền đã hoàn thành công trước đó</w:t>
            </w:r>
          </w:p>
        </w:tc>
      </w:tr>
    </w:tbl>
    <w:p>
      <w:pPr>
        <w:spacing w:after="80" w:line="276" w:lineRule="auto"/>
      </w:pPr>
      <w:r>
        <w:rPr>
          <w:color w:val="1E293B"/>
        </w:rPr>
        <w:t>Kết quả không được nhỏ hơn 0. Các khoản phí hoặc ưu đãi chỉ được hoàn nếu chính sách đã được phê duyệt cho phép.</w:t>
      </w:r>
    </w:p>
    <w:p>
      <w:pPr>
        <w:spacing w:after="80" w:line="276" w:lineRule="auto"/>
      </w:pPr>
      <w:r>
        <w:rPr>
          <w:b/>
          <w:color w:val="1E293B"/>
        </w:rPr>
        <w:t xml:space="preserve">Xử lý: </w:t>
      </w:r>
      <w:r>
        <w:rPr>
          <w:color w:val="1E293B"/>
        </w:rPr>
        <w:t>Đọc số tiền giao dịch gốc → Tổng hợp các khoản hoàn thành công trước đó → Tính số tiền còn được phép hoàn → Kiểm tra số tiền đề nghị → Lưu dữ liệu và căn cứ tính toán.</w:t>
      </w:r>
    </w:p>
    <w:p>
      <w:pPr>
        <w:spacing w:after="80" w:line="276" w:lineRule="auto"/>
      </w:pPr>
      <w:r>
        <w:rPr>
          <w:b/>
          <w:color w:val="1E293B"/>
        </w:rPr>
        <w:t xml:space="preserve">Tiêu chí chấp nhận: </w:t>
      </w:r>
      <w:r>
        <w:rPr>
          <w:color w:val="1E293B"/>
        </w:rPr>
        <w:t>Tổng số tiền hoàn thành công không vượt quá giới hạn được phép hoàn.</w:t>
      </w:r>
    </w:p>
    <w:p>
      <w:pPr>
        <w:keepNext/>
        <w:spacing w:before="280" w:after="120"/>
      </w:pPr>
      <w:r>
        <w:rPr>
          <w:rFonts w:ascii="Arial" w:hAnsi="Arial"/>
          <w:b/>
          <w:color w:val="1E293B"/>
          <w:sz w:val="24"/>
        </w:rPr>
        <w:t>3.4. FR-04 – Thực hiện hoàn tiền và cập nhật trạng thái</w:t>
      </w:r>
    </w:p>
    <w:p>
      <w:pPr>
        <w:spacing w:after="80" w:line="276" w:lineRule="auto"/>
      </w:pPr>
      <w:r>
        <w:rPr>
          <w:b/>
          <w:color w:val="1E293B"/>
        </w:rPr>
        <w:t xml:space="preserve">Mô tả: </w:t>
      </w:r>
      <w:r>
        <w:rPr>
          <w:color w:val="1E293B"/>
        </w:rPr>
        <w:t>Hệ thống gửi yêu cầu hoàn tiền đến đối tác thanh toán sau khi yêu cầu được phê duyệt.</w:t>
      </w:r>
    </w:p>
    <w:p>
      <w:pPr>
        <w:spacing w:after="80" w:line="276" w:lineRule="auto"/>
      </w:pPr>
      <w:r>
        <w:rPr>
          <w:b/>
          <w:color w:val="1E293B"/>
        </w:rPr>
        <w:t xml:space="preserve">Xử lý: </w:t>
      </w:r>
      <w:r>
        <w:rPr>
          <w:color w:val="1E293B"/>
        </w:rPr>
        <w:t>Tạo mã tham chiếu đối tác → Gửi yêu cầu qua API tích hợp → Ghi nhận phản hồi → Cập nhật trạng thái → Lưu nhật ký gửi/phản hồi.</w:t>
      </w:r>
    </w:p>
    <w:p>
      <w:pPr>
        <w:spacing w:after="80" w:line="276" w:lineRule="auto"/>
      </w:pPr>
      <w:r>
        <w:rPr>
          <w:color w:val="1E293B"/>
        </w:rPr>
        <w:t>Khi xảy ra lỗi kết nối hoặc hết thời gian chờ, hệ thống phải xác minh trạng thái giao dịch với đối tác trước khi gửi lại. Cơ chế chống xử lý lặp phải được sử dụng để hạn chế việc hoàn tiền hai lần.</w:t>
      </w:r>
    </w:p>
    <w:p>
      <w:pPr>
        <w:spacing w:after="80" w:line="276" w:lineRule="auto"/>
      </w:pPr>
      <w:r>
        <w:rPr>
          <w:b/>
          <w:color w:val="1E293B"/>
        </w:rPr>
        <w:t xml:space="preserve">Tiêu chí chấp nhận: </w:t>
      </w:r>
      <w:r>
        <w:rPr>
          <w:color w:val="1E293B"/>
        </w:rPr>
        <w:t>Mỗi yêu cầu hoàn tiền chỉ được ghi nhận theo đúng trạng thái thực tế từ hệ thống xử lý.</w:t>
      </w:r>
    </w:p>
    <w:p>
      <w:pPr>
        <w:keepNext/>
        <w:spacing w:before="280" w:after="120"/>
      </w:pPr>
      <w:r>
        <w:rPr>
          <w:rFonts w:ascii="Arial" w:hAnsi="Arial"/>
          <w:b/>
          <w:color w:val="1E293B"/>
          <w:sz w:val="24"/>
        </w:rPr>
        <w:t>3.5. FR-05 – Thông báo kết quả hoàn tiền</w:t>
      </w:r>
    </w:p>
    <w:p>
      <w:pPr>
        <w:spacing w:after="80" w:line="276" w:lineRule="auto"/>
      </w:pPr>
      <w:r>
        <w:rPr>
          <w:b/>
          <w:color w:val="1E293B"/>
        </w:rPr>
        <w:t xml:space="preserve">Mô tả: </w:t>
      </w:r>
      <w:r>
        <w:rPr>
          <w:color w:val="1E293B"/>
        </w:rPr>
        <w:t>Hệ thống thông báo cho người dùng khi trạng thái yêu cầu thay đổi.</w:t>
      </w:r>
    </w:p>
    <w:p>
      <w:pPr>
        <w:spacing w:after="80" w:line="276" w:lineRule="auto"/>
      </w:pPr>
      <w:r>
        <w:rPr>
          <w:b/>
          <w:color w:val="1E293B"/>
        </w:rPr>
        <w:t xml:space="preserve">Nội dung thông báo: </w:t>
      </w:r>
      <w:r>
        <w:rPr>
          <w:color w:val="1E293B"/>
        </w:rPr>
        <w:t>Gồm Mã yêu cầu hoàn tiền, Trạng thái hiện tại, Số tiền đề nghị/đã hoàn, Thời điểm cập nhật và Hướng dẫn tra cứu/hỗ trợ.</w:t>
      </w:r>
    </w:p>
    <w:p>
      <w:pPr>
        <w:spacing w:after="80" w:line="276" w:lineRule="auto"/>
      </w:pPr>
      <w:r>
        <w:rPr>
          <w:b/>
          <w:color w:val="1E293B"/>
        </w:rPr>
        <w:t xml:space="preserve">Tiêu chí chấp nhận: </w:t>
      </w:r>
      <w:r>
        <w:rPr>
          <w:color w:val="1E293B"/>
        </w:rPr>
        <w:t>Thông báo phải phù hợp với trạng thái đã ghi nhận và không làm lộ thông tin tài khoản nhạy cảm.</w:t>
      </w:r>
    </w:p>
    <w:p>
      <w:pPr>
        <w:keepNext/>
        <w:spacing w:before="360" w:after="160"/>
      </w:pPr>
      <w:r>
        <w:rPr>
          <w:rFonts w:ascii="Arial" w:hAnsi="Arial"/>
          <w:b/>
          <w:color w:val="4F46E5"/>
          <w:sz w:val="30"/>
        </w:rPr>
        <w:t>4. DỮ LIỆU VÀ QUY TẮC NGHIỆP VỤ</w:t>
      </w:r>
    </w:p>
    <w:p>
      <w:pPr>
        <w:keepNext/>
        <w:spacing w:before="280" w:after="120"/>
      </w:pPr>
      <w:r>
        <w:rPr>
          <w:rFonts w:ascii="Arial" w:hAnsi="Arial"/>
          <w:b/>
          <w:color w:val="1E293B"/>
          <w:sz w:val="24"/>
        </w:rPr>
        <w:t>4.1. Cấu trúc dữ liệu</w:t>
      </w:r>
    </w:p>
    <w:p>
      <w:pPr>
        <w:spacing w:after="80" w:line="276" w:lineRule="auto"/>
      </w:pPr>
      <w:r>
        <w:rPr>
          <w:color w:val="1E293B"/>
        </w:rPr>
        <w:t>Bảng yêu cầu hoàn tiền (RefundRequest) bao gồm các trường thông tin sau:</w:t>
      </w:r>
    </w:p>
    <w:tbl>
      <w:tblPr>
        <w:tblW w:type="auto" w:w="0"/>
        <w:jc w:val="center"/>
        <w:tblLook w:firstColumn="1" w:firstRow="1" w:lastColumn="0" w:lastRow="0" w:noHBand="0" w:noVBand="1" w:val="04A0"/>
      </w:tblPr>
      <w:tblGrid>
        <w:gridCol w:w="4968"/>
        <w:gridCol w:w="4968"/>
      </w:tblGrid>
      <w:tr>
        <w:tc>
          <w:tcPr>
            <w:tcW w:type="dxa" w:w="3168"/>
            <w:shd w:fill="4F46E5"/>
            <w:tcMar>
              <w:top w:w="120" w:type="dxa"/>
              <w:bottom w:w="120" w:type="dxa"/>
              <w:left w:w="150" w:type="dxa"/>
              <w:right w:w="150" w:type="dxa"/>
            </w:tcMar>
          </w:tcPr>
          <w:p>
            <w:pPr>
              <w:jc w:val="left"/>
            </w:pPr>
            <w:r>
              <w:rPr>
                <w:b/>
                <w:color w:val="FFFFFF"/>
                <w:sz w:val="20"/>
              </w:rPr>
              <w:t>Trường dữ liệu</w:t>
            </w:r>
          </w:p>
        </w:tc>
        <w:tc>
          <w:tcPr>
            <w:tcW w:type="dxa" w:w="6624"/>
            <w:shd w:fill="4F46E5"/>
            <w:tcMar>
              <w:top w:w="120" w:type="dxa"/>
              <w:bottom w:w="120" w:type="dxa"/>
              <w:left w:w="150" w:type="dxa"/>
              <w:right w:w="150" w:type="dxa"/>
            </w:tcMar>
          </w:tcPr>
          <w:p>
            <w:pPr>
              <w:jc w:val="left"/>
            </w:pPr>
            <w:r>
              <w:rPr>
                <w:b/>
                <w:color w:val="FFFFFF"/>
                <w:sz w:val="20"/>
              </w:rPr>
              <w:t>Ý nghĩa &amp; Mô tả</w:t>
            </w:r>
          </w:p>
        </w:tc>
      </w:tr>
      <w:tr>
        <w:tc>
          <w:tcPr>
            <w:tcW w:type="dxa" w:w="3168"/>
            <w:shd w:fill="FFFFFF"/>
            <w:tcMar>
              <w:top w:w="100" w:type="dxa"/>
              <w:bottom w:w="100" w:type="dxa"/>
              <w:left w:w="150" w:type="dxa"/>
              <w:right w:w="150" w:type="dxa"/>
            </w:tcMar>
          </w:tcPr>
          <w:p>
            <w:pPr>
              <w:jc w:val="left"/>
            </w:pPr>
            <w:r>
              <w:rPr>
                <w:color w:val="1E293B"/>
                <w:sz w:val="19"/>
              </w:rPr>
              <w:t>RefundRequestID</w:t>
            </w:r>
          </w:p>
        </w:tc>
        <w:tc>
          <w:tcPr>
            <w:tcW w:type="dxa" w:w="6624"/>
            <w:shd w:fill="FFFFFF"/>
            <w:tcMar>
              <w:top w:w="100" w:type="dxa"/>
              <w:bottom w:w="100" w:type="dxa"/>
              <w:left w:w="150" w:type="dxa"/>
              <w:right w:w="150" w:type="dxa"/>
            </w:tcMar>
          </w:tcPr>
          <w:p>
            <w:pPr>
              <w:jc w:val="left"/>
            </w:pPr>
            <w:r>
              <w:rPr>
                <w:color w:val="1E293B"/>
                <w:sz w:val="19"/>
              </w:rPr>
              <w:t>Mã yêu cầu hoàn tiền duy nhất (Primary Key)</w:t>
            </w:r>
          </w:p>
        </w:tc>
      </w:tr>
      <w:tr>
        <w:tc>
          <w:tcPr>
            <w:tcW w:type="dxa" w:w="3168"/>
            <w:shd w:fill="F8FAFC"/>
            <w:tcMar>
              <w:top w:w="100" w:type="dxa"/>
              <w:bottom w:w="100" w:type="dxa"/>
              <w:left w:w="150" w:type="dxa"/>
              <w:right w:w="150" w:type="dxa"/>
            </w:tcMar>
          </w:tcPr>
          <w:p>
            <w:pPr>
              <w:jc w:val="left"/>
            </w:pPr>
            <w:r>
              <w:rPr>
                <w:color w:val="1E293B"/>
                <w:sz w:val="19"/>
              </w:rPr>
              <w:t>TransactionID</w:t>
            </w:r>
          </w:p>
        </w:tc>
        <w:tc>
          <w:tcPr>
            <w:tcW w:type="dxa" w:w="6624"/>
            <w:shd w:fill="F8FAFC"/>
            <w:tcMar>
              <w:top w:w="100" w:type="dxa"/>
              <w:bottom w:w="100" w:type="dxa"/>
              <w:left w:w="150" w:type="dxa"/>
              <w:right w:w="150" w:type="dxa"/>
            </w:tcMar>
          </w:tcPr>
          <w:p>
            <w:pPr>
              <w:jc w:val="left"/>
            </w:pPr>
            <w:r>
              <w:rPr>
                <w:color w:val="1E293B"/>
                <w:sz w:val="19"/>
              </w:rPr>
              <w:t>Mã giao dịch gốc cần hoàn tiền</w:t>
            </w:r>
          </w:p>
        </w:tc>
      </w:tr>
      <w:tr>
        <w:tc>
          <w:tcPr>
            <w:tcW w:type="dxa" w:w="3168"/>
            <w:shd w:fill="FFFFFF"/>
            <w:tcMar>
              <w:top w:w="100" w:type="dxa"/>
              <w:bottom w:w="100" w:type="dxa"/>
              <w:left w:w="150" w:type="dxa"/>
              <w:right w:w="150" w:type="dxa"/>
            </w:tcMar>
          </w:tcPr>
          <w:p>
            <w:pPr>
              <w:jc w:val="left"/>
            </w:pPr>
            <w:r>
              <w:rPr>
                <w:color w:val="1E293B"/>
                <w:sz w:val="19"/>
              </w:rPr>
              <w:t>UserID</w:t>
            </w:r>
          </w:p>
        </w:tc>
        <w:tc>
          <w:tcPr>
            <w:tcW w:type="dxa" w:w="6624"/>
            <w:shd w:fill="FFFFFF"/>
            <w:tcMar>
              <w:top w:w="100" w:type="dxa"/>
              <w:bottom w:w="100" w:type="dxa"/>
              <w:left w:w="150" w:type="dxa"/>
              <w:right w:w="150" w:type="dxa"/>
            </w:tcMar>
          </w:tcPr>
          <w:p>
            <w:pPr>
              <w:jc w:val="left"/>
            </w:pPr>
            <w:r>
              <w:rPr>
                <w:color w:val="1E293B"/>
                <w:sz w:val="19"/>
              </w:rPr>
              <w:t>Mã người dùng thực hiện yêu cầu</w:t>
            </w:r>
          </w:p>
        </w:tc>
      </w:tr>
      <w:tr>
        <w:tc>
          <w:tcPr>
            <w:tcW w:type="dxa" w:w="3168"/>
            <w:shd w:fill="F8FAFC"/>
            <w:tcMar>
              <w:top w:w="100" w:type="dxa"/>
              <w:bottom w:w="100" w:type="dxa"/>
              <w:left w:w="150" w:type="dxa"/>
              <w:right w:w="150" w:type="dxa"/>
            </w:tcMar>
          </w:tcPr>
          <w:p>
            <w:pPr>
              <w:jc w:val="left"/>
            </w:pPr>
            <w:r>
              <w:rPr>
                <w:color w:val="1E293B"/>
                <w:sz w:val="19"/>
              </w:rPr>
              <w:t>RequestedAmount</w:t>
            </w:r>
          </w:p>
        </w:tc>
        <w:tc>
          <w:tcPr>
            <w:tcW w:type="dxa" w:w="6624"/>
            <w:shd w:fill="F8FAFC"/>
            <w:tcMar>
              <w:top w:w="100" w:type="dxa"/>
              <w:bottom w:w="100" w:type="dxa"/>
              <w:left w:w="150" w:type="dxa"/>
              <w:right w:w="150" w:type="dxa"/>
            </w:tcMar>
          </w:tcPr>
          <w:p>
            <w:pPr>
              <w:jc w:val="left"/>
            </w:pPr>
            <w:r>
              <w:rPr>
                <w:color w:val="1E293B"/>
                <w:sz w:val="19"/>
              </w:rPr>
              <w:t>Số tiền người dùng đề nghị hoàn</w:t>
            </w:r>
          </w:p>
        </w:tc>
      </w:tr>
      <w:tr>
        <w:tc>
          <w:tcPr>
            <w:tcW w:type="dxa" w:w="3168"/>
            <w:shd w:fill="FFFFFF"/>
            <w:tcMar>
              <w:top w:w="100" w:type="dxa"/>
              <w:bottom w:w="100" w:type="dxa"/>
              <w:left w:w="150" w:type="dxa"/>
              <w:right w:w="150" w:type="dxa"/>
            </w:tcMar>
          </w:tcPr>
          <w:p>
            <w:pPr>
              <w:jc w:val="left"/>
            </w:pPr>
            <w:r>
              <w:rPr>
                <w:color w:val="1E293B"/>
                <w:sz w:val="19"/>
              </w:rPr>
              <w:t>ApprovedAmount</w:t>
            </w:r>
          </w:p>
        </w:tc>
        <w:tc>
          <w:tcPr>
            <w:tcW w:type="dxa" w:w="6624"/>
            <w:shd w:fill="FFFFFF"/>
            <w:tcMar>
              <w:top w:w="100" w:type="dxa"/>
              <w:bottom w:w="100" w:type="dxa"/>
              <w:left w:w="150" w:type="dxa"/>
              <w:right w:w="150" w:type="dxa"/>
            </w:tcMar>
          </w:tcPr>
          <w:p>
            <w:pPr>
              <w:jc w:val="left"/>
            </w:pPr>
            <w:r>
              <w:rPr>
                <w:color w:val="1E293B"/>
                <w:sz w:val="19"/>
              </w:rPr>
              <w:t>Số tiền được phê duyệt hoàn thực tế</w:t>
            </w:r>
          </w:p>
        </w:tc>
      </w:tr>
      <w:tr>
        <w:tc>
          <w:tcPr>
            <w:tcW w:type="dxa" w:w="3168"/>
            <w:shd w:fill="F8FAFC"/>
            <w:tcMar>
              <w:top w:w="100" w:type="dxa"/>
              <w:bottom w:w="100" w:type="dxa"/>
              <w:left w:w="150" w:type="dxa"/>
              <w:right w:w="150" w:type="dxa"/>
            </w:tcMar>
          </w:tcPr>
          <w:p>
            <w:pPr>
              <w:jc w:val="left"/>
            </w:pPr>
            <w:r>
              <w:rPr>
                <w:color w:val="1E293B"/>
                <w:sz w:val="19"/>
              </w:rPr>
              <w:t>ReasonCode</w:t>
            </w:r>
          </w:p>
        </w:tc>
        <w:tc>
          <w:tcPr>
            <w:tcW w:type="dxa" w:w="6624"/>
            <w:shd w:fill="F8FAFC"/>
            <w:tcMar>
              <w:top w:w="100" w:type="dxa"/>
              <w:bottom w:w="100" w:type="dxa"/>
              <w:left w:w="150" w:type="dxa"/>
              <w:right w:w="150" w:type="dxa"/>
            </w:tcMar>
          </w:tcPr>
          <w:p>
            <w:pPr>
              <w:jc w:val="left"/>
            </w:pPr>
            <w:r>
              <w:rPr>
                <w:color w:val="1E293B"/>
                <w:sz w:val="19"/>
              </w:rPr>
              <w:t>Mã lý do hoàn tiền theo phân loại</w:t>
            </w:r>
          </w:p>
        </w:tc>
      </w:tr>
      <w:tr>
        <w:tc>
          <w:tcPr>
            <w:tcW w:type="dxa" w:w="3168"/>
            <w:shd w:fill="FFFFFF"/>
            <w:tcMar>
              <w:top w:w="100" w:type="dxa"/>
              <w:bottom w:w="100" w:type="dxa"/>
              <w:left w:w="150" w:type="dxa"/>
              <w:right w:w="150" w:type="dxa"/>
            </w:tcMar>
          </w:tcPr>
          <w:p>
            <w:pPr>
              <w:jc w:val="left"/>
            </w:pPr>
            <w:r>
              <w:rPr>
                <w:color w:val="1E293B"/>
                <w:sz w:val="19"/>
              </w:rPr>
              <w:t>Status</w:t>
            </w:r>
          </w:p>
        </w:tc>
        <w:tc>
          <w:tcPr>
            <w:tcW w:type="dxa" w:w="6624"/>
            <w:shd w:fill="FFFFFF"/>
            <w:tcMar>
              <w:top w:w="100" w:type="dxa"/>
              <w:bottom w:w="100" w:type="dxa"/>
              <w:left w:w="150" w:type="dxa"/>
              <w:right w:w="150" w:type="dxa"/>
            </w:tcMar>
          </w:tcPr>
          <w:p>
            <w:pPr>
              <w:jc w:val="left"/>
            </w:pPr>
            <w:r>
              <w:rPr>
                <w:color w:val="1E293B"/>
                <w:sz w:val="19"/>
              </w:rPr>
              <w:t>Trạng thái xử lý của yêu cầu hoàn tiền</w:t>
            </w:r>
          </w:p>
        </w:tc>
      </w:tr>
      <w:tr>
        <w:tc>
          <w:tcPr>
            <w:tcW w:type="dxa" w:w="3168"/>
            <w:shd w:fill="F8FAFC"/>
            <w:tcMar>
              <w:top w:w="100" w:type="dxa"/>
              <w:bottom w:w="100" w:type="dxa"/>
              <w:left w:w="150" w:type="dxa"/>
              <w:right w:w="150" w:type="dxa"/>
            </w:tcMar>
          </w:tcPr>
          <w:p>
            <w:pPr>
              <w:jc w:val="left"/>
            </w:pPr>
            <w:r>
              <w:rPr>
                <w:color w:val="1E293B"/>
                <w:sz w:val="19"/>
              </w:rPr>
              <w:t>CreatedAt</w:t>
            </w:r>
          </w:p>
        </w:tc>
        <w:tc>
          <w:tcPr>
            <w:tcW w:type="dxa" w:w="6624"/>
            <w:shd w:fill="F8FAFC"/>
            <w:tcMar>
              <w:top w:w="100" w:type="dxa"/>
              <w:bottom w:w="100" w:type="dxa"/>
              <w:left w:w="150" w:type="dxa"/>
              <w:right w:w="150" w:type="dxa"/>
            </w:tcMar>
          </w:tcPr>
          <w:p>
            <w:pPr>
              <w:jc w:val="left"/>
            </w:pPr>
            <w:r>
              <w:rPr>
                <w:color w:val="1E293B"/>
                <w:sz w:val="19"/>
              </w:rPr>
              <w:t>Thời điểm khởi tạo yêu cầu</w:t>
            </w:r>
          </w:p>
        </w:tc>
      </w:tr>
      <w:tr>
        <w:tc>
          <w:tcPr>
            <w:tcW w:type="dxa" w:w="3168"/>
            <w:shd w:fill="FFFFFF"/>
            <w:tcMar>
              <w:top w:w="100" w:type="dxa"/>
              <w:bottom w:w="100" w:type="dxa"/>
              <w:left w:w="150" w:type="dxa"/>
              <w:right w:w="150" w:type="dxa"/>
            </w:tcMar>
          </w:tcPr>
          <w:p>
            <w:pPr>
              <w:jc w:val="left"/>
            </w:pPr>
            <w:r>
              <w:rPr>
                <w:color w:val="1E293B"/>
                <w:sz w:val="19"/>
              </w:rPr>
              <w:t>UpdatedAt</w:t>
            </w:r>
          </w:p>
        </w:tc>
        <w:tc>
          <w:tcPr>
            <w:tcW w:type="dxa" w:w="6624"/>
            <w:shd w:fill="FFFFFF"/>
            <w:tcMar>
              <w:top w:w="100" w:type="dxa"/>
              <w:bottom w:w="100" w:type="dxa"/>
              <w:left w:w="150" w:type="dxa"/>
              <w:right w:w="150" w:type="dxa"/>
            </w:tcMar>
          </w:tcPr>
          <w:p>
            <w:pPr>
              <w:jc w:val="left"/>
            </w:pPr>
            <w:r>
              <w:rPr>
                <w:color w:val="1E293B"/>
                <w:sz w:val="19"/>
              </w:rPr>
              <w:t>Thời điểm cập nhật trạng thái gần nhất</w:t>
            </w:r>
          </w:p>
        </w:tc>
      </w:tr>
      <w:tr>
        <w:tc>
          <w:tcPr>
            <w:tcW w:type="dxa" w:w="3168"/>
            <w:shd w:fill="F8FAFC"/>
            <w:tcMar>
              <w:top w:w="100" w:type="dxa"/>
              <w:bottom w:w="100" w:type="dxa"/>
              <w:left w:w="150" w:type="dxa"/>
              <w:right w:w="150" w:type="dxa"/>
            </w:tcMar>
          </w:tcPr>
          <w:p>
            <w:pPr>
              <w:jc w:val="left"/>
            </w:pPr>
            <w:r>
              <w:rPr>
                <w:color w:val="1E293B"/>
                <w:sz w:val="19"/>
              </w:rPr>
              <w:t>PartnerReference</w:t>
            </w:r>
          </w:p>
        </w:tc>
        <w:tc>
          <w:tcPr>
            <w:tcW w:type="dxa" w:w="6624"/>
            <w:shd w:fill="F8FAFC"/>
            <w:tcMar>
              <w:top w:w="100" w:type="dxa"/>
              <w:bottom w:w="100" w:type="dxa"/>
              <w:left w:w="150" w:type="dxa"/>
              <w:right w:w="150" w:type="dxa"/>
            </w:tcMar>
          </w:tcPr>
          <w:p>
            <w:pPr>
              <w:jc w:val="left"/>
            </w:pPr>
            <w:r>
              <w:rPr>
                <w:color w:val="1E293B"/>
                <w:sz w:val="19"/>
              </w:rPr>
              <w:t>Mã tham chiếu đối tác thanh toán cung cấp</w:t>
            </w:r>
          </w:p>
        </w:tc>
      </w:tr>
      <w:tr>
        <w:tc>
          <w:tcPr>
            <w:tcW w:type="dxa" w:w="3168"/>
            <w:shd w:fill="FFFFFF"/>
            <w:tcMar>
              <w:top w:w="100" w:type="dxa"/>
              <w:bottom w:w="100" w:type="dxa"/>
              <w:left w:w="150" w:type="dxa"/>
              <w:right w:w="150" w:type="dxa"/>
            </w:tcMar>
          </w:tcPr>
          <w:p>
            <w:pPr>
              <w:jc w:val="left"/>
            </w:pPr>
            <w:r>
              <w:rPr>
                <w:color w:val="1E293B"/>
                <w:sz w:val="19"/>
              </w:rPr>
              <w:t>FailureCode</w:t>
            </w:r>
          </w:p>
        </w:tc>
        <w:tc>
          <w:tcPr>
            <w:tcW w:type="dxa" w:w="6624"/>
            <w:shd w:fill="FFFFFF"/>
            <w:tcMar>
              <w:top w:w="100" w:type="dxa"/>
              <w:bottom w:w="100" w:type="dxa"/>
              <w:left w:w="150" w:type="dxa"/>
              <w:right w:w="150" w:type="dxa"/>
            </w:tcMar>
          </w:tcPr>
          <w:p>
            <w:pPr>
              <w:jc w:val="left"/>
            </w:pPr>
            <w:r>
              <w:rPr>
                <w:color w:val="1E293B"/>
                <w:sz w:val="19"/>
              </w:rPr>
              <w:t>Mã lỗi chi tiết nếu quá trình xử lý thất bại</w:t>
            </w:r>
          </w:p>
        </w:tc>
      </w:tr>
    </w:tbl>
    <w:p>
      <w:pPr>
        <w:keepNext/>
        <w:spacing w:before="280" w:after="120"/>
      </w:pPr>
      <w:r>
        <w:rPr>
          <w:rFonts w:ascii="Arial" w:hAnsi="Arial"/>
          <w:b/>
          <w:color w:val="1E293B"/>
          <w:sz w:val="24"/>
        </w:rPr>
        <w:t>4.2. Quy định trạng thái</w:t>
      </w:r>
    </w:p>
    <w:p>
      <w:pPr>
        <w:spacing w:after="80" w:line="276" w:lineRule="auto"/>
      </w:pPr>
      <w:r>
        <w:rPr>
          <w:color w:val="1E293B"/>
        </w:rPr>
        <w:t>Hệ thống quản lý vòng đời yêu cầu hoàn tiền qua các trạng thái chuẩn:</w:t>
      </w:r>
    </w:p>
    <w:p>
      <w:pPr>
        <w:spacing w:after="80" w:line="276" w:lineRule="auto"/>
      </w:pPr>
      <w:r>
        <w:rPr>
          <w:color w:val="1E293B"/>
        </w:rPr>
        <w:t>• RECEIVED: Đã tiếp nhận yêu cầu từ người dùng.</w:t>
      </w:r>
    </w:p>
    <w:p>
      <w:pPr>
        <w:spacing w:after="80" w:line="276" w:lineRule="auto"/>
      </w:pPr>
      <w:r>
        <w:rPr>
          <w:color w:val="1E293B"/>
        </w:rPr>
        <w:t>• UNDER_REVIEW: Đang kiểm tra điều kiện và thẩm định.</w:t>
      </w:r>
    </w:p>
    <w:p>
      <w:pPr>
        <w:spacing w:after="80" w:line="276" w:lineRule="auto"/>
      </w:pPr>
      <w:r>
        <w:rPr>
          <w:color w:val="1E293B"/>
        </w:rPr>
        <w:t>• APPROVED: Yêu cầu đã được phê duyệt thành công.</w:t>
      </w:r>
    </w:p>
    <w:p>
      <w:pPr>
        <w:spacing w:after="80" w:line="276" w:lineRule="auto"/>
      </w:pPr>
      <w:r>
        <w:rPr>
          <w:color w:val="1E293B"/>
        </w:rPr>
        <w:t>• PROCESSING: Đang thực hiện chuyển lệnh hoàn tiền sang đối tác.</w:t>
      </w:r>
    </w:p>
    <w:p>
      <w:pPr>
        <w:spacing w:after="80" w:line="276" w:lineRule="auto"/>
      </w:pPr>
      <w:r>
        <w:rPr>
          <w:color w:val="1E293B"/>
        </w:rPr>
        <w:t>• COMPLETED: Hoàn tiền thành công vào tài khoản/ví.</w:t>
      </w:r>
    </w:p>
    <w:p>
      <w:pPr>
        <w:spacing w:after="80" w:line="276" w:lineRule="auto"/>
      </w:pPr>
      <w:r>
        <w:rPr>
          <w:color w:val="1E293B"/>
        </w:rPr>
        <w:t>• REJECTED: Yêu cầu bị từ chối do không đủ điều kiện.</w:t>
      </w:r>
    </w:p>
    <w:p>
      <w:pPr>
        <w:spacing w:after="80" w:line="276" w:lineRule="auto"/>
      </w:pPr>
      <w:r>
        <w:rPr>
          <w:color w:val="1E293B"/>
        </w:rPr>
        <w:t>• FAILED: Quá trình xử lý giao dịch tại đối tác thất bại.</w:t>
      </w:r>
    </w:p>
    <w:p>
      <w:pPr>
        <w:keepNext/>
        <w:spacing w:before="280" w:after="120"/>
      </w:pPr>
      <w:r>
        <w:rPr>
          <w:rFonts w:ascii="Arial" w:hAnsi="Arial"/>
          <w:b/>
          <w:color w:val="1E293B"/>
          <w:sz w:val="24"/>
        </w:rPr>
        <w:t>4.3. Quy tắc nghiệp vụ</w:t>
      </w:r>
    </w:p>
    <w:p>
      <w:pPr>
        <w:spacing w:after="80" w:line="276" w:lineRule="auto"/>
      </w:pPr>
      <w:r>
        <w:rPr>
          <w:b/>
          <w:color w:val="1E293B"/>
        </w:rPr>
        <w:t xml:space="preserve">BR-01: </w:t>
      </w:r>
      <w:r>
        <w:rPr>
          <w:color w:val="1E293B"/>
        </w:rPr>
        <w:t>Chỉ người dùng có quyền sở hữu giao dịch hoặc người được ủy quyền hợp lệ mới được gửi yêu cầu.</w:t>
      </w:r>
    </w:p>
    <w:p>
      <w:pPr>
        <w:spacing w:after="80" w:line="276" w:lineRule="auto"/>
      </w:pPr>
      <w:r>
        <w:rPr>
          <w:b/>
          <w:color w:val="1E293B"/>
        </w:rPr>
        <w:t xml:space="preserve">BR-02: </w:t>
      </w:r>
      <w:r>
        <w:rPr>
          <w:color w:val="1E293B"/>
        </w:rPr>
        <w:t>Số tiền hoàn thành công không được vượt quá số tiền được phép hoàn.</w:t>
      </w:r>
    </w:p>
    <w:p>
      <w:pPr>
        <w:spacing w:after="80" w:line="276" w:lineRule="auto"/>
      </w:pPr>
      <w:r>
        <w:rPr>
          <w:b/>
          <w:color w:val="1E293B"/>
        </w:rPr>
        <w:t xml:space="preserve">BR-03: </w:t>
      </w:r>
      <w:r>
        <w:rPr>
          <w:color w:val="1E293B"/>
        </w:rPr>
        <w:t>Mỗi yêu cầu hoàn tiền phải có mã định danh riêng.</w:t>
      </w:r>
    </w:p>
    <w:p>
      <w:pPr>
        <w:spacing w:after="80" w:line="276" w:lineRule="auto"/>
      </w:pPr>
      <w:r>
        <w:rPr>
          <w:b/>
          <w:color w:val="1E293B"/>
        </w:rPr>
        <w:t xml:space="preserve">BR-04: </w:t>
      </w:r>
      <w:r>
        <w:rPr>
          <w:color w:val="1E293B"/>
        </w:rPr>
        <w:t>Hệ thống phải kiểm tra trạng thái đối tác trước khi gửi lại yêu cầu trong trường hợp mất kết nối.</w:t>
      </w:r>
    </w:p>
    <w:p>
      <w:pPr>
        <w:spacing w:after="80" w:line="276" w:lineRule="auto"/>
      </w:pPr>
      <w:r>
        <w:rPr>
          <w:b/>
          <w:color w:val="1E293B"/>
        </w:rPr>
        <w:t xml:space="preserve">BR-05: </w:t>
      </w:r>
      <w:r>
        <w:rPr>
          <w:color w:val="1E293B"/>
        </w:rPr>
        <w:t>Mọi thao tác quan trọng phải được lưu trong nhật ký kiểm toán (Audit Log).</w:t>
      </w:r>
    </w:p>
    <w:p>
      <w:pPr>
        <w:spacing w:after="80" w:line="276" w:lineRule="auto"/>
      </w:pPr>
      <w:r>
        <w:rPr>
          <w:b/>
          <w:color w:val="1E293B"/>
        </w:rPr>
        <w:t xml:space="preserve">BR-06: </w:t>
      </w:r>
      <w:r>
        <w:rPr>
          <w:color w:val="1E293B"/>
        </w:rPr>
        <w:t>Thông tin xác thực bí mật không được lưu trong nhật ký hoặc nội dung thông báo.</w:t>
      </w:r>
    </w:p>
    <w:p>
      <w:pPr>
        <w:keepNext/>
        <w:spacing w:before="280" w:after="120"/>
      </w:pPr>
      <w:r>
        <w:rPr>
          <w:rFonts w:ascii="Arial" w:hAnsi="Arial"/>
          <w:b/>
          <w:color w:val="1E293B"/>
          <w:sz w:val="24"/>
        </w:rPr>
        <w:t>4.4. Bảo mật và phân quyền</w:t>
      </w:r>
    </w:p>
    <w:p>
      <w:pPr>
        <w:spacing w:after="80" w:line="276" w:lineRule="auto"/>
      </w:pPr>
      <w:r>
        <w:rPr>
          <w:color w:val="1E293B"/>
        </w:rPr>
        <w:t>Hệ thống áp dụng phân quyền theo vai trò (RBAC), chỉ cho phép nhân viên có thẩm quyền truy cập thông tin xử lý hoàn tiền. Dữ liệu phải được bảo vệ khi truyền (TLS 1.3) và lưu trữ (AES-256) theo yêu cầu bảo mật được phê duyệt.</w:t>
      </w:r>
    </w:p>
    <w:p>
      <w:pPr>
        <w:spacing w:after="80" w:line="276" w:lineRule="auto"/>
      </w:pPr>
      <w:r>
        <w:rPr>
          <w:color w:val="1E293B"/>
        </w:rPr>
        <w:t>Các thao tác phê duyệt, từ chối hoặc xử lý ngoại lệ phải có thông tin người thực hiện và thời điểm thực hiện. Dữ liệu dùng trong môi trường kiểm thử phải là dữ liệu giả lập hoặc đã được xử lý phù hợp để bảo vệ thông tin cá nhân.</w:t>
      </w:r>
    </w:p>
    <w:p>
      <w:pPr>
        <w:keepNext/>
        <w:spacing w:before="360" w:after="160"/>
      </w:pPr>
      <w:r>
        <w:rPr>
          <w:rFonts w:ascii="Arial" w:hAnsi="Arial"/>
          <w:b/>
          <w:color w:val="4F46E5"/>
          <w:sz w:val="30"/>
        </w:rPr>
        <w:t>5. YÊU CẦU PHI CHỨC NĂNG VÀ KIỂM THỬ</w:t>
      </w:r>
    </w:p>
    <w:p>
      <w:pPr>
        <w:keepNext/>
        <w:spacing w:before="280" w:after="120"/>
      </w:pPr>
      <w:r>
        <w:rPr>
          <w:rFonts w:ascii="Arial" w:hAnsi="Arial"/>
          <w:b/>
          <w:color w:val="1E293B"/>
          <w:sz w:val="24"/>
        </w:rPr>
        <w:t>5.1. Hiệu năng</w:t>
      </w:r>
    </w:p>
    <w:p>
      <w:pPr>
        <w:spacing w:after="80" w:line="276" w:lineRule="auto"/>
      </w:pPr>
      <w:r>
        <w:rPr>
          <w:color w:val="1E293B"/>
        </w:rPr>
        <w:t>Mục tiêu đề xuất là 95% yêu cầu tra cứu trạng thái nội bộ phản hồi trong vòng 2 giây khi hệ thống hoạt động ở mức tải bình thường. Hệ thống phải ghi nhận bền vững yêu cầu trước khi thông báo đã tiếp nhận thành công.</w:t>
      </w:r>
    </w:p>
    <w:p>
      <w:pPr>
        <w:spacing w:after="80" w:line="276" w:lineRule="auto"/>
      </w:pPr>
      <w:r>
        <w:rPr>
          <w:color w:val="1E293B"/>
        </w:rPr>
        <w:t>Các chỉ tiêu này cần được xác nhận bằng kiểm thử hiệu năng và điều chỉnh theo năng lực triển khai thực tế.</w:t>
      </w:r>
    </w:p>
    <w:p>
      <w:pPr>
        <w:keepNext/>
        <w:spacing w:before="280" w:after="120"/>
      </w:pPr>
      <w:r>
        <w:rPr>
          <w:rFonts w:ascii="Arial" w:hAnsi="Arial"/>
          <w:b/>
          <w:color w:val="1E293B"/>
          <w:sz w:val="24"/>
        </w:rPr>
        <w:t>5.2. Độ tin cậy</w:t>
      </w:r>
    </w:p>
    <w:p>
      <w:pPr>
        <w:spacing w:after="80" w:line="276" w:lineRule="auto"/>
      </w:pPr>
      <w:r>
        <w:rPr>
          <w:color w:val="1E293B"/>
        </w:rPr>
        <w:t>Hệ thống phải hạn chế xử lý lặp, phát hiện dữ liệu không nhất quán và hỗ trợ khôi phục sau lỗi kết nối. Những yêu cầu có trạng thái không xác định phải được đối chiếu với đối tác trước khi tiếp tục xử lý.</w:t>
      </w:r>
    </w:p>
    <w:p>
      <w:pPr>
        <w:keepNext/>
        <w:spacing w:before="280" w:after="120"/>
      </w:pPr>
      <w:r>
        <w:rPr>
          <w:rFonts w:ascii="Arial" w:hAnsi="Arial"/>
          <w:b/>
          <w:color w:val="1E293B"/>
          <w:sz w:val="24"/>
        </w:rPr>
        <w:t>5.3. Khả năng sử dụng</w:t>
      </w:r>
    </w:p>
    <w:p>
      <w:pPr>
        <w:spacing w:after="80" w:line="276" w:lineRule="auto"/>
      </w:pPr>
      <w:r>
        <w:rPr>
          <w:color w:val="1E293B"/>
        </w:rPr>
        <w:t>Giao diện phải trình bày rõ số tiền, trạng thái và mã yêu cầu. Thông báo lỗi cần dễ hiểu, chỉ ra nguyên nhân trong phạm vi có thể cung cấp và hướng dẫn bước tiếp theo.</w:t>
      </w:r>
    </w:p>
    <w:p>
      <w:pPr>
        <w:keepNext/>
        <w:spacing w:before="280" w:after="120"/>
      </w:pPr>
      <w:r>
        <w:rPr>
          <w:rFonts w:ascii="Arial" w:hAnsi="Arial"/>
          <w:b/>
          <w:color w:val="1E293B"/>
          <w:sz w:val="24"/>
        </w:rPr>
        <w:t>5.4. Tiêu chí nghiệm thu</w:t>
      </w:r>
    </w:p>
    <w:p>
      <w:pPr>
        <w:spacing w:after="80" w:line="276" w:lineRule="auto"/>
      </w:pPr>
      <w:r>
        <w:rPr>
          <w:b/>
          <w:color w:val="1E293B"/>
        </w:rPr>
        <w:t xml:space="preserve">AT-01: </w:t>
      </w:r>
      <w:r>
        <w:rPr>
          <w:color w:val="1E293B"/>
        </w:rPr>
        <w:t>Yêu cầu hợp lệ được tiếp nhận và cấp mã duy nhất.</w:t>
      </w:r>
    </w:p>
    <w:p>
      <w:pPr>
        <w:spacing w:after="80" w:line="276" w:lineRule="auto"/>
      </w:pPr>
      <w:r>
        <w:rPr>
          <w:b/>
          <w:color w:val="1E293B"/>
        </w:rPr>
        <w:t xml:space="preserve">AT-02: </w:t>
      </w:r>
      <w:r>
        <w:rPr>
          <w:color w:val="1E293B"/>
        </w:rPr>
        <w:t>Yêu cầu vượt số tiền còn được phép hoàn bị từ chối.</w:t>
      </w:r>
    </w:p>
    <w:p>
      <w:pPr>
        <w:spacing w:after="80" w:line="276" w:lineRule="auto"/>
      </w:pPr>
      <w:r>
        <w:rPr>
          <w:b/>
          <w:color w:val="1E293B"/>
        </w:rPr>
        <w:t xml:space="preserve">AT-03: </w:t>
      </w:r>
      <w:r>
        <w:rPr>
          <w:color w:val="1E293B"/>
        </w:rPr>
        <w:t>Gửi lại cùng một yêu cầu không tạo ra giao dịch hoàn tiền trùng lặp.</w:t>
      </w:r>
    </w:p>
    <w:p>
      <w:pPr>
        <w:spacing w:after="80" w:line="276" w:lineRule="auto"/>
      </w:pPr>
      <w:r>
        <w:rPr>
          <w:b/>
          <w:color w:val="1E293B"/>
        </w:rPr>
        <w:t xml:space="preserve">AT-04: </w:t>
      </w:r>
      <w:r>
        <w:rPr>
          <w:color w:val="1E293B"/>
        </w:rPr>
        <w:t>Trạng thái đối tác được ghi nhận và đối soát.</w:t>
      </w:r>
    </w:p>
    <w:p>
      <w:pPr>
        <w:spacing w:after="80" w:line="276" w:lineRule="auto"/>
      </w:pPr>
      <w:r>
        <w:rPr>
          <w:b/>
          <w:color w:val="1E293B"/>
        </w:rPr>
        <w:t xml:space="preserve">AT-05: </w:t>
      </w:r>
      <w:r>
        <w:rPr>
          <w:color w:val="1E293B"/>
        </w:rPr>
        <w:t>Người dùng nhận thông báo phù hợp với kết quả xử lý.</w:t>
      </w:r>
    </w:p>
    <w:p>
      <w:pPr>
        <w:spacing w:after="80" w:line="276" w:lineRule="auto"/>
      </w:pPr>
      <w:r>
        <w:rPr>
          <w:b/>
          <w:color w:val="1E293B"/>
        </w:rPr>
        <w:t xml:space="preserve">AT-06: </w:t>
      </w:r>
      <w:r>
        <w:rPr>
          <w:color w:val="1E293B"/>
        </w:rPr>
        <w:t>Nhật ký kiểm toán lưu đầy đủ thông tin về các bước xử lý quan trọng.</w:t>
      </w:r>
    </w:p>
    <w:p>
      <w:pPr>
        <w:keepNext/>
        <w:spacing w:before="280" w:after="120"/>
      </w:pPr>
      <w:r>
        <w:rPr>
          <w:rFonts w:ascii="Arial" w:hAnsi="Arial"/>
          <w:b/>
          <w:color w:val="1E293B"/>
          <w:sz w:val="24"/>
        </w:rPr>
        <w:t>5.5. Ma trận kiểm thử</w:t>
      </w:r>
    </w:p>
    <w:tbl>
      <w:tblPr>
        <w:tblW w:type="auto" w:w="0"/>
        <w:jc w:val="center"/>
        <w:tblLook w:firstColumn="1" w:firstRow="1" w:lastColumn="0" w:lastRow="0" w:noHBand="0" w:noVBand="1" w:val="04A0"/>
      </w:tblPr>
      <w:tblGrid>
        <w:gridCol w:w="3312"/>
        <w:gridCol w:w="3312"/>
        <w:gridCol w:w="3312"/>
      </w:tblGrid>
      <w:tr>
        <w:tc>
          <w:tcPr>
            <w:tcW w:type="dxa" w:w="1728"/>
            <w:shd w:fill="4F46E5"/>
            <w:tcMar>
              <w:top w:w="120" w:type="dxa"/>
              <w:bottom w:w="120" w:type="dxa"/>
              <w:left w:w="150" w:type="dxa"/>
              <w:right w:w="150" w:type="dxa"/>
            </w:tcMar>
          </w:tcPr>
          <w:p>
            <w:pPr>
              <w:jc w:val="left"/>
            </w:pPr>
            <w:r>
              <w:rPr>
                <w:b/>
                <w:color w:val="FFFFFF"/>
                <w:sz w:val="20"/>
              </w:rPr>
              <w:t>Mã kiểm thử</w:t>
            </w:r>
          </w:p>
        </w:tc>
        <w:tc>
          <w:tcPr>
            <w:tcW w:type="dxa" w:w="4032"/>
            <w:shd w:fill="4F46E5"/>
            <w:tcMar>
              <w:top w:w="120" w:type="dxa"/>
              <w:bottom w:w="120" w:type="dxa"/>
              <w:left w:w="150" w:type="dxa"/>
              <w:right w:w="150" w:type="dxa"/>
            </w:tcMar>
          </w:tcPr>
          <w:p>
            <w:pPr>
              <w:jc w:val="left"/>
            </w:pPr>
            <w:r>
              <w:rPr>
                <w:b/>
                <w:color w:val="FFFFFF"/>
                <w:sz w:val="20"/>
              </w:rPr>
              <w:t>Tình huống kiểm thử</w:t>
            </w:r>
          </w:p>
        </w:tc>
        <w:tc>
          <w:tcPr>
            <w:tcW w:type="dxa" w:w="4032"/>
            <w:shd w:fill="4F46E5"/>
            <w:tcMar>
              <w:top w:w="120" w:type="dxa"/>
              <w:bottom w:w="120" w:type="dxa"/>
              <w:left w:w="150" w:type="dxa"/>
              <w:right w:w="150" w:type="dxa"/>
            </w:tcMar>
          </w:tcPr>
          <w:p>
            <w:pPr>
              <w:jc w:val="left"/>
            </w:pPr>
            <w:r>
              <w:rPr>
                <w:b/>
                <w:color w:val="FFFFFF"/>
                <w:sz w:val="20"/>
              </w:rPr>
              <w:t>Kết quả mong đợi</w:t>
            </w:r>
          </w:p>
        </w:tc>
      </w:tr>
      <w:tr>
        <w:tc>
          <w:tcPr>
            <w:tcW w:type="dxa" w:w="1728"/>
            <w:shd w:fill="FFFFFF"/>
            <w:tcMar>
              <w:top w:w="100" w:type="dxa"/>
              <w:bottom w:w="100" w:type="dxa"/>
              <w:left w:w="150" w:type="dxa"/>
              <w:right w:w="150" w:type="dxa"/>
            </w:tcMar>
          </w:tcPr>
          <w:p>
            <w:pPr>
              <w:jc w:val="left"/>
            </w:pPr>
            <w:r>
              <w:rPr>
                <w:color w:val="1E293B"/>
                <w:sz w:val="19"/>
              </w:rPr>
              <w:t>TC-01</w:t>
            </w:r>
          </w:p>
        </w:tc>
        <w:tc>
          <w:tcPr>
            <w:tcW w:type="dxa" w:w="4032"/>
            <w:shd w:fill="FFFFFF"/>
            <w:tcMar>
              <w:top w:w="100" w:type="dxa"/>
              <w:bottom w:w="100" w:type="dxa"/>
              <w:left w:w="150" w:type="dxa"/>
              <w:right w:w="150" w:type="dxa"/>
            </w:tcMar>
          </w:tcPr>
          <w:p>
            <w:pPr>
              <w:jc w:val="left"/>
            </w:pPr>
            <w:r>
              <w:rPr>
                <w:color w:val="1E293B"/>
                <w:sz w:val="19"/>
              </w:rPr>
              <w:t>Giao dịch hợp lệ, đủ điều kiện hoàn</w:t>
            </w:r>
          </w:p>
        </w:tc>
        <w:tc>
          <w:tcPr>
            <w:tcW w:type="dxa" w:w="4032"/>
            <w:shd w:fill="FFFFFF"/>
            <w:tcMar>
              <w:top w:w="100" w:type="dxa"/>
              <w:bottom w:w="100" w:type="dxa"/>
              <w:left w:w="150" w:type="dxa"/>
              <w:right w:w="150" w:type="dxa"/>
            </w:tcMar>
          </w:tcPr>
          <w:p>
            <w:pPr>
              <w:jc w:val="left"/>
            </w:pPr>
            <w:r>
              <w:rPr>
                <w:color w:val="1E293B"/>
                <w:sz w:val="19"/>
              </w:rPr>
              <w:t>Tiếp nhận yêu cầu thành công, tạo RefundRequestID</w:t>
            </w:r>
          </w:p>
        </w:tc>
      </w:tr>
      <w:tr>
        <w:tc>
          <w:tcPr>
            <w:tcW w:type="dxa" w:w="1728"/>
            <w:shd w:fill="F8FAFC"/>
            <w:tcMar>
              <w:top w:w="100" w:type="dxa"/>
              <w:bottom w:w="100" w:type="dxa"/>
              <w:left w:w="150" w:type="dxa"/>
              <w:right w:w="150" w:type="dxa"/>
            </w:tcMar>
          </w:tcPr>
          <w:p>
            <w:pPr>
              <w:jc w:val="left"/>
            </w:pPr>
            <w:r>
              <w:rPr>
                <w:color w:val="1E293B"/>
                <w:sz w:val="19"/>
              </w:rPr>
              <w:t>TC-02</w:t>
            </w:r>
          </w:p>
        </w:tc>
        <w:tc>
          <w:tcPr>
            <w:tcW w:type="dxa" w:w="4032"/>
            <w:shd w:fill="F8FAFC"/>
            <w:tcMar>
              <w:top w:w="100" w:type="dxa"/>
              <w:bottom w:w="100" w:type="dxa"/>
              <w:left w:w="150" w:type="dxa"/>
              <w:right w:w="150" w:type="dxa"/>
            </w:tcMar>
          </w:tcPr>
          <w:p>
            <w:pPr>
              <w:jc w:val="left"/>
            </w:pPr>
            <w:r>
              <w:rPr>
                <w:color w:val="1E293B"/>
                <w:sz w:val="19"/>
              </w:rPr>
              <w:t>Mã giao dịch không tồn tại trong hệ thống</w:t>
            </w:r>
          </w:p>
        </w:tc>
        <w:tc>
          <w:tcPr>
            <w:tcW w:type="dxa" w:w="4032"/>
            <w:shd w:fill="F8FAFC"/>
            <w:tcMar>
              <w:top w:w="100" w:type="dxa"/>
              <w:bottom w:w="100" w:type="dxa"/>
              <w:left w:w="150" w:type="dxa"/>
              <w:right w:w="150" w:type="dxa"/>
            </w:tcMar>
          </w:tcPr>
          <w:p>
            <w:pPr>
              <w:jc w:val="left"/>
            </w:pPr>
            <w:r>
              <w:rPr>
                <w:color w:val="1E293B"/>
                <w:sz w:val="19"/>
              </w:rPr>
              <w:t>Hiển thị thông báo lỗi giao dịch không hợp lệ</w:t>
            </w:r>
          </w:p>
        </w:tc>
      </w:tr>
      <w:tr>
        <w:tc>
          <w:tcPr>
            <w:tcW w:type="dxa" w:w="1728"/>
            <w:shd w:fill="FFFFFF"/>
            <w:tcMar>
              <w:top w:w="100" w:type="dxa"/>
              <w:bottom w:w="100" w:type="dxa"/>
              <w:left w:w="150" w:type="dxa"/>
              <w:right w:w="150" w:type="dxa"/>
            </w:tcMar>
          </w:tcPr>
          <w:p>
            <w:pPr>
              <w:jc w:val="left"/>
            </w:pPr>
            <w:r>
              <w:rPr>
                <w:color w:val="1E293B"/>
                <w:sz w:val="19"/>
              </w:rPr>
              <w:t>TC-03</w:t>
            </w:r>
          </w:p>
        </w:tc>
        <w:tc>
          <w:tcPr>
            <w:tcW w:type="dxa" w:w="4032"/>
            <w:shd w:fill="FFFFFF"/>
            <w:tcMar>
              <w:top w:w="100" w:type="dxa"/>
              <w:bottom w:w="100" w:type="dxa"/>
              <w:left w:w="150" w:type="dxa"/>
              <w:right w:w="150" w:type="dxa"/>
            </w:tcMar>
          </w:tcPr>
          <w:p>
            <w:pPr>
              <w:jc w:val="left"/>
            </w:pPr>
            <w:r>
              <w:rPr>
                <w:color w:val="1E293B"/>
                <w:sz w:val="19"/>
              </w:rPr>
              <w:t>Số tiền đề nghị vượt giới hạn cho phép</w:t>
            </w:r>
          </w:p>
        </w:tc>
        <w:tc>
          <w:tcPr>
            <w:tcW w:type="dxa" w:w="4032"/>
            <w:shd w:fill="FFFFFF"/>
            <w:tcMar>
              <w:top w:w="100" w:type="dxa"/>
              <w:bottom w:w="100" w:type="dxa"/>
              <w:left w:w="150" w:type="dxa"/>
              <w:right w:w="150" w:type="dxa"/>
            </w:tcMar>
          </w:tcPr>
          <w:p>
            <w:pPr>
              <w:jc w:val="left"/>
            </w:pPr>
            <w:r>
              <w:rPr>
                <w:color w:val="1E293B"/>
                <w:sz w:val="19"/>
              </w:rPr>
              <w:t>Từ chối yêu cầu, báo lỗi vượt hạn mức</w:t>
            </w:r>
          </w:p>
        </w:tc>
      </w:tr>
      <w:tr>
        <w:tc>
          <w:tcPr>
            <w:tcW w:type="dxa" w:w="1728"/>
            <w:shd w:fill="F8FAFC"/>
            <w:tcMar>
              <w:top w:w="100" w:type="dxa"/>
              <w:bottom w:w="100" w:type="dxa"/>
              <w:left w:w="150" w:type="dxa"/>
              <w:right w:w="150" w:type="dxa"/>
            </w:tcMar>
          </w:tcPr>
          <w:p>
            <w:pPr>
              <w:jc w:val="left"/>
            </w:pPr>
            <w:r>
              <w:rPr>
                <w:color w:val="1E293B"/>
                <w:sz w:val="19"/>
              </w:rPr>
              <w:t>TC-04</w:t>
            </w:r>
          </w:p>
        </w:tc>
        <w:tc>
          <w:tcPr>
            <w:tcW w:type="dxa" w:w="4032"/>
            <w:shd w:fill="F8FAFC"/>
            <w:tcMar>
              <w:top w:w="100" w:type="dxa"/>
              <w:bottom w:w="100" w:type="dxa"/>
              <w:left w:w="150" w:type="dxa"/>
              <w:right w:w="150" w:type="dxa"/>
            </w:tcMar>
          </w:tcPr>
          <w:p>
            <w:pPr>
              <w:jc w:val="left"/>
            </w:pPr>
            <w:r>
              <w:rPr>
                <w:color w:val="1E293B"/>
                <w:sz w:val="19"/>
              </w:rPr>
              <w:t>Đối tác thanh toán hết thời gian phản hồi (Timeout)</w:t>
            </w:r>
          </w:p>
        </w:tc>
        <w:tc>
          <w:tcPr>
            <w:tcW w:type="dxa" w:w="4032"/>
            <w:shd w:fill="F8FAFC"/>
            <w:tcMar>
              <w:top w:w="100" w:type="dxa"/>
              <w:bottom w:w="100" w:type="dxa"/>
              <w:left w:w="150" w:type="dxa"/>
              <w:right w:w="150" w:type="dxa"/>
            </w:tcMar>
          </w:tcPr>
          <w:p>
            <w:pPr>
              <w:jc w:val="left"/>
            </w:pPr>
            <w:r>
              <w:rPr>
                <w:color w:val="1E293B"/>
                <w:sz w:val="19"/>
              </w:rPr>
              <w:t>Chờ xác minh trạng thái, không tạo lệnh trùng</w:t>
            </w:r>
          </w:p>
        </w:tc>
      </w:tr>
      <w:tr>
        <w:tc>
          <w:tcPr>
            <w:tcW w:type="dxa" w:w="1728"/>
            <w:shd w:fill="FFFFFF"/>
            <w:tcMar>
              <w:top w:w="100" w:type="dxa"/>
              <w:bottom w:w="100" w:type="dxa"/>
              <w:left w:w="150" w:type="dxa"/>
              <w:right w:w="150" w:type="dxa"/>
            </w:tcMar>
          </w:tcPr>
          <w:p>
            <w:pPr>
              <w:jc w:val="left"/>
            </w:pPr>
            <w:r>
              <w:rPr>
                <w:color w:val="1E293B"/>
                <w:sz w:val="19"/>
              </w:rPr>
              <w:t>TC-05</w:t>
            </w:r>
          </w:p>
        </w:tc>
        <w:tc>
          <w:tcPr>
            <w:tcW w:type="dxa" w:w="4032"/>
            <w:shd w:fill="FFFFFF"/>
            <w:tcMar>
              <w:top w:w="100" w:type="dxa"/>
              <w:bottom w:w="100" w:type="dxa"/>
              <w:left w:w="150" w:type="dxa"/>
              <w:right w:w="150" w:type="dxa"/>
            </w:tcMar>
          </w:tcPr>
          <w:p>
            <w:pPr>
              <w:jc w:val="left"/>
            </w:pPr>
            <w:r>
              <w:rPr>
                <w:color w:val="1E293B"/>
                <w:sz w:val="19"/>
              </w:rPr>
              <w:t>Đối tác xác nhận giao dịch thành công</w:t>
            </w:r>
          </w:p>
        </w:tc>
        <w:tc>
          <w:tcPr>
            <w:tcW w:type="dxa" w:w="4032"/>
            <w:shd w:fill="FFFFFF"/>
            <w:tcMar>
              <w:top w:w="100" w:type="dxa"/>
              <w:bottom w:w="100" w:type="dxa"/>
              <w:left w:w="150" w:type="dxa"/>
              <w:right w:w="150" w:type="dxa"/>
            </w:tcMar>
          </w:tcPr>
          <w:p>
            <w:pPr>
              <w:jc w:val="left"/>
            </w:pPr>
            <w:r>
              <w:rPr>
                <w:color w:val="1E293B"/>
                <w:sz w:val="19"/>
              </w:rPr>
              <w:t>Cập nhật COMPLETED, gửi thông báo người dùng</w:t>
            </w:r>
          </w:p>
        </w:tc>
      </w:tr>
      <w:tr>
        <w:tc>
          <w:tcPr>
            <w:tcW w:type="dxa" w:w="1728"/>
            <w:shd w:fill="F8FAFC"/>
            <w:tcMar>
              <w:top w:w="100" w:type="dxa"/>
              <w:bottom w:w="100" w:type="dxa"/>
              <w:left w:w="150" w:type="dxa"/>
              <w:right w:w="150" w:type="dxa"/>
            </w:tcMar>
          </w:tcPr>
          <w:p>
            <w:pPr>
              <w:jc w:val="left"/>
            </w:pPr>
            <w:r>
              <w:rPr>
                <w:color w:val="1E293B"/>
                <w:sz w:val="19"/>
              </w:rPr>
              <w:t>TC-06</w:t>
            </w:r>
          </w:p>
        </w:tc>
        <w:tc>
          <w:tcPr>
            <w:tcW w:type="dxa" w:w="4032"/>
            <w:shd w:fill="F8FAFC"/>
            <w:tcMar>
              <w:top w:w="100" w:type="dxa"/>
              <w:bottom w:w="100" w:type="dxa"/>
              <w:left w:w="150" w:type="dxa"/>
              <w:right w:w="150" w:type="dxa"/>
            </w:tcMar>
          </w:tcPr>
          <w:p>
            <w:pPr>
              <w:jc w:val="left"/>
            </w:pPr>
            <w:r>
              <w:rPr>
                <w:color w:val="1E293B"/>
                <w:sz w:val="19"/>
              </w:rPr>
              <w:t>Người dùng gửi yêu cầu không sở hữu giao dịch</w:t>
            </w:r>
          </w:p>
        </w:tc>
        <w:tc>
          <w:tcPr>
            <w:tcW w:type="dxa" w:w="4032"/>
            <w:shd w:fill="F8FAFC"/>
            <w:tcMar>
              <w:top w:w="100" w:type="dxa"/>
              <w:bottom w:w="100" w:type="dxa"/>
              <w:left w:w="150" w:type="dxa"/>
              <w:right w:w="150" w:type="dxa"/>
            </w:tcMar>
          </w:tcPr>
          <w:p>
            <w:pPr>
              <w:jc w:val="left"/>
            </w:pPr>
            <w:r>
              <w:rPr>
                <w:color w:val="1E293B"/>
                <w:sz w:val="19"/>
              </w:rPr>
              <w:t>Từ chối truy cập và ghi nhận cảnh báo bảo mật</w:t>
            </w:r>
          </w:p>
        </w:tc>
      </w:tr>
    </w:tbl>
    <w:p>
      <w:pPr>
        <w:keepNext/>
        <w:spacing w:before="280" w:after="120"/>
      </w:pPr>
      <w:r>
        <w:rPr>
          <w:rFonts w:ascii="Arial" w:hAnsi="Arial"/>
          <w:b/>
          <w:color w:val="1E293B"/>
          <w:sz w:val="24"/>
        </w:rPr>
        <w:t>5.6. Rủi ro và biện pháp xử lý</w:t>
      </w:r>
    </w:p>
    <w:p>
      <w:pPr>
        <w:spacing w:after="80" w:line="276" w:lineRule="auto"/>
      </w:pPr>
      <w:r>
        <w:rPr>
          <w:color w:val="1E293B"/>
        </w:rPr>
        <w:t>Các rủi ro chính gồm dữ liệu đối tác cập nhật chậm, sai lệch số tiền, yêu cầu xử lý trùng và truy cập trái phép. Hệ thống cần thực hiện đối soát định kỳ, áp dụng cơ chế chống xử lý lặp, ghi nhật ký kiểm toán và thiết lập cảnh báo khi phát hiện sai lệch.</w:t>
      </w:r>
    </w:p>
    <w:p>
      <w:pPr>
        <w:keepNext/>
        <w:spacing w:before="280" w:after="120"/>
      </w:pPr>
      <w:r>
        <w:rPr>
          <w:rFonts w:ascii="Arial" w:hAnsi="Arial"/>
          <w:b/>
          <w:color w:val="1E293B"/>
          <w:sz w:val="24"/>
        </w:rPr>
        <w:t>5.7. Điều kiện phát hành</w:t>
      </w:r>
    </w:p>
    <w:p>
      <w:pPr>
        <w:spacing w:after="80" w:line="276" w:lineRule="auto"/>
      </w:pPr>
      <w:r>
        <w:rPr>
          <w:color w:val="1E293B"/>
        </w:rPr>
        <w:t>Trước khi đưa chức năng vào sử dụng, nhóm dự án cần xác nhận chính sách hoàn tiền, hạn mức giao dịch, thời hạn xử lý, biểu phí liên quan, yêu cầu bảo mật và thỏa thuận mức dịch vụ (SLA) với đối tác thanh toán.</w:t>
      </w:r>
    </w:p>
    <w:p>
      <w:pPr>
        <w:keepNext/>
        <w:spacing w:before="360" w:after="160"/>
      </w:pPr>
      <w:r>
        <w:rPr>
          <w:rFonts w:ascii="Arial" w:hAnsi="Arial"/>
          <w:b/>
          <w:color w:val="4F46E5"/>
          <w:sz w:val="30"/>
        </w:rPr>
        <w:t>PHỤ LỤC A. CÁC NỘI DUNG CẦN XÁC NHẬN</w:t>
      </w:r>
    </w:p>
    <w:p>
      <w:pPr>
        <w:spacing w:after="80" w:line="276" w:lineRule="auto"/>
      </w:pPr>
      <w:r>
        <w:rPr>
          <w:color w:val="1E293B"/>
        </w:rPr>
        <w:t>Các nội dung cần được chủ sản phẩm (Product Owner) và các bên liên quan phê duyệt trước khi triển khai chính thức bao gồm:</w:t>
      </w:r>
    </w:p>
    <w:p>
      <w:pPr>
        <w:spacing w:after="80" w:line="276" w:lineRule="auto"/>
      </w:pPr>
      <w:r>
        <w:rPr>
          <w:color w:val="1E293B"/>
        </w:rPr>
        <w:t>• Thời hạn cho phép gửi yêu cầu hoàn tiền từ thời điểm giao dịch thành công.</w:t>
      </w:r>
    </w:p>
    <w:p>
      <w:pPr>
        <w:spacing w:after="80" w:line="276" w:lineRule="auto"/>
      </w:pPr>
      <w:r>
        <w:rPr>
          <w:color w:val="1E293B"/>
        </w:rPr>
        <w:t>• Phân loại các nhóm giao dịch được áp dụng chính sách hoàn tiền.</w:t>
      </w:r>
    </w:p>
    <w:p>
      <w:pPr>
        <w:spacing w:after="80" w:line="276" w:lineRule="auto"/>
      </w:pPr>
      <w:r>
        <w:rPr>
          <w:color w:val="1E293B"/>
        </w:rPr>
        <w:t>• Quy tắc xử lý hoàn trả phí dịch vụ và các chương trình ưu đãi/voucher.</w:t>
      </w:r>
    </w:p>
    <w:p>
      <w:pPr>
        <w:spacing w:after="80" w:line="276" w:lineRule="auto"/>
      </w:pPr>
      <w:r>
        <w:rPr>
          <w:color w:val="1E293B"/>
        </w:rPr>
        <w:t>• Hạn mức hoàn tiền tối đa theo ngày/tháng đối với từng cấp tài khoản sinh viên.</w:t>
      </w:r>
    </w:p>
    <w:p>
      <w:pPr>
        <w:spacing w:after="80" w:line="276" w:lineRule="auto"/>
      </w:pPr>
      <w:r>
        <w:rPr>
          <w:color w:val="1E293B"/>
        </w:rPr>
        <w:t>• Cam kết mức dịch vụ (SLA) về thời gian phản hồi từ các đối tác ngân hàng.</w:t>
      </w:r>
    </w:p>
    <w:p>
      <w:pPr>
        <w:spacing w:after="80" w:line="276" w:lineRule="auto"/>
      </w:pPr>
      <w:r>
        <w:rPr>
          <w:color w:val="1E293B"/>
        </w:rPr>
        <w:t>• Mẫu thiết kế thông báo (Push notification / Email / SMS) gửi người dùng.</w:t>
      </w:r>
    </w:p>
    <w:p>
      <w:pPr>
        <w:keepNext/>
        <w:spacing w:before="360" w:after="160"/>
      </w:pPr>
      <w:r>
        <w:rPr>
          <w:rFonts w:ascii="Arial" w:hAnsi="Arial"/>
          <w:b/>
          <w:color w:val="4F46E5"/>
          <w:sz w:val="30"/>
        </w:rPr>
        <w:t>PHỤ LỤC B. LỊCH SỬ PHIÊN BẢN</w:t>
      </w:r>
    </w:p>
    <w:tbl>
      <w:tblPr>
        <w:tblW w:type="auto" w:w="0"/>
        <w:jc w:val="center"/>
        <w:tblLook w:firstColumn="1" w:firstRow="1" w:lastColumn="0" w:lastRow="0" w:noHBand="0" w:noVBand="1" w:val="04A0"/>
      </w:tblPr>
      <w:tblGrid>
        <w:gridCol w:w="3312"/>
        <w:gridCol w:w="3312"/>
        <w:gridCol w:w="3312"/>
      </w:tblGrid>
      <w:tr>
        <w:tc>
          <w:tcPr>
            <w:tcW w:type="dxa" w:w="1728"/>
            <w:shd w:fill="4F46E5"/>
            <w:tcMar>
              <w:top w:w="120" w:type="dxa"/>
              <w:bottom w:w="120" w:type="dxa"/>
              <w:left w:w="150" w:type="dxa"/>
              <w:right w:w="150" w:type="dxa"/>
            </w:tcMar>
          </w:tcPr>
          <w:p>
            <w:pPr>
              <w:jc w:val="left"/>
            </w:pPr>
            <w:r>
              <w:rPr>
                <w:b/>
                <w:color w:val="FFFFFF"/>
                <w:sz w:val="20"/>
              </w:rPr>
              <w:t>Phiên bản</w:t>
            </w:r>
          </w:p>
        </w:tc>
        <w:tc>
          <w:tcPr>
            <w:tcW w:type="dxa" w:w="2160"/>
            <w:shd w:fill="4F46E5"/>
            <w:tcMar>
              <w:top w:w="120" w:type="dxa"/>
              <w:bottom w:w="120" w:type="dxa"/>
              <w:left w:w="150" w:type="dxa"/>
              <w:right w:w="150" w:type="dxa"/>
            </w:tcMar>
          </w:tcPr>
          <w:p>
            <w:pPr>
              <w:jc w:val="left"/>
            </w:pPr>
            <w:r>
              <w:rPr>
                <w:b/>
                <w:color w:val="FFFFFF"/>
                <w:sz w:val="20"/>
              </w:rPr>
              <w:t>Ngày</w:t>
            </w:r>
          </w:p>
        </w:tc>
        <w:tc>
          <w:tcPr>
            <w:tcW w:type="dxa" w:w="5904"/>
            <w:shd w:fill="4F46E5"/>
            <w:tcMar>
              <w:top w:w="120" w:type="dxa"/>
              <w:bottom w:w="120" w:type="dxa"/>
              <w:left w:w="150" w:type="dxa"/>
              <w:right w:w="150" w:type="dxa"/>
            </w:tcMar>
          </w:tcPr>
          <w:p>
            <w:pPr>
              <w:jc w:val="left"/>
            </w:pPr>
            <w:r>
              <w:rPr>
                <w:b/>
                <w:color w:val="FFFFFF"/>
                <w:sz w:val="20"/>
              </w:rPr>
              <w:t>Nội dung thay đổi / Ghi chú</w:t>
            </w:r>
          </w:p>
        </w:tc>
      </w:tr>
      <w:tr>
        <w:tc>
          <w:tcPr>
            <w:tcW w:type="dxa" w:w="1728"/>
            <w:shd w:fill="FFFFFF"/>
            <w:tcMar>
              <w:top w:w="100" w:type="dxa"/>
              <w:bottom w:w="100" w:type="dxa"/>
              <w:left w:w="150" w:type="dxa"/>
              <w:right w:w="150" w:type="dxa"/>
            </w:tcMar>
          </w:tcPr>
          <w:p>
            <w:pPr>
              <w:jc w:val="left"/>
            </w:pPr>
            <w:r>
              <w:rPr>
                <w:color w:val="1E293B"/>
                <w:sz w:val="19"/>
              </w:rPr>
              <w:t>1.0</w:t>
            </w:r>
          </w:p>
        </w:tc>
        <w:tc>
          <w:tcPr>
            <w:tcW w:type="dxa" w:w="2160"/>
            <w:shd w:fill="FFFFFF"/>
            <w:tcMar>
              <w:top w:w="100" w:type="dxa"/>
              <w:bottom w:w="100" w:type="dxa"/>
              <w:left w:w="150" w:type="dxa"/>
              <w:right w:w="150" w:type="dxa"/>
            </w:tcMar>
          </w:tcPr>
          <w:p>
            <w:pPr>
              <w:jc w:val="left"/>
            </w:pPr>
            <w:r>
              <w:rPr>
                <w:color w:val="1E293B"/>
                <w:sz w:val="19"/>
              </w:rPr>
              <w:t>26/10/2026</w:t>
            </w:r>
          </w:p>
        </w:tc>
        <w:tc>
          <w:tcPr>
            <w:tcW w:type="dxa" w:w="5904"/>
            <w:shd w:fill="FFFFFF"/>
            <w:tcMar>
              <w:top w:w="100" w:type="dxa"/>
              <w:bottom w:w="100" w:type="dxa"/>
              <w:left w:w="150" w:type="dxa"/>
              <w:right w:w="150" w:type="dxa"/>
            </w:tcMar>
          </w:tcPr>
          <w:p>
            <w:pPr>
              <w:jc w:val="left"/>
            </w:pPr>
            <w:r>
              <w:rPr>
                <w:color w:val="1E293B"/>
                <w:sz w:val="19"/>
              </w:rPr>
              <w:t>Khởi tạo tài liệu SRS phục vụ bài tập mô phỏng tính năng hoàn tiền ví PayKX.</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