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911374">
      <w:pPr>
        <w:keepNext/>
        <w:spacing w:before="280" w:after="120"/>
      </w:pPr>
      <w:bookmarkStart w:id="0" w:name="_GoBack"/>
      <w:bookmarkEnd w:id="0"/>
      <w:r>
        <w:rPr>
          <w:b/>
          <w:color w:val="333333"/>
          <w:sz w:val="26"/>
        </w:rPr>
        <w:t>Phần 1: Bảng so sánh toán tử ghi file trong PowerShell</w:t>
      </w:r>
    </w:p>
    <w:p w14:paraId="484FC7BB">
      <w:pPr>
        <w:spacing w:after="120"/>
      </w:pPr>
      <w:r>
        <w:t>So sánh chi tiết giữa toán tử ghi đè (&gt;) / Out-File và toán tử ghi nối (&gt;&gt;) / Add-Content:</w:t>
      </w:r>
    </w:p>
    <w:tbl>
      <w:tblPr>
        <w:tblStyle w:val="12"/>
        <w:tblW w:w="0" w:type="auto"/>
        <w:jc w:val="center"/>
        <w:tblLayout w:type="fixed"/>
        <w:tblCellMar>
          <w:top w:w="0" w:type="dxa"/>
          <w:left w:w="108" w:type="dxa"/>
          <w:bottom w:w="0" w:type="dxa"/>
          <w:right w:w="108" w:type="dxa"/>
        </w:tblCellMar>
      </w:tblPr>
      <w:tblGrid>
        <w:gridCol w:w="3120"/>
        <w:gridCol w:w="3120"/>
        <w:gridCol w:w="3120"/>
      </w:tblGrid>
      <w:tr w14:paraId="584BCFBD">
        <w:tblPrEx>
          <w:tblCellMar>
            <w:top w:w="0" w:type="dxa"/>
            <w:left w:w="108" w:type="dxa"/>
            <w:bottom w:w="0" w:type="dxa"/>
            <w:right w:w="108" w:type="dxa"/>
          </w:tblCellMar>
        </w:tblPrEx>
        <w:trPr>
          <w:jc w:val="center"/>
        </w:trPr>
        <w:tc>
          <w:tcPr>
            <w:tcW w:w="2160" w:type="dxa"/>
            <w:tcBorders>
              <w:top w:val="single" w:color="111111" w:sz="6" w:space="0"/>
              <w:left w:val="single" w:color="111111" w:sz="6" w:space="0"/>
              <w:bottom w:val="single" w:color="111111" w:sz="6" w:space="0"/>
              <w:right w:val="single" w:color="111111" w:sz="6" w:space="0"/>
            </w:tcBorders>
            <w:shd w:val="clear" w:color="auto" w:fill="111111"/>
          </w:tcPr>
          <w:p w14:paraId="11EFD86F">
            <w:pPr>
              <w:jc w:val="center"/>
            </w:pPr>
            <w:r>
              <w:rPr>
                <w:b/>
                <w:color w:val="FFFFFF"/>
                <w:sz w:val="20"/>
              </w:rPr>
              <w:t>Tiêu chí</w:t>
            </w:r>
          </w:p>
        </w:tc>
        <w:tc>
          <w:tcPr>
            <w:tcW w:w="3600" w:type="dxa"/>
            <w:tcBorders>
              <w:top w:val="single" w:color="111111" w:sz="6" w:space="0"/>
              <w:left w:val="single" w:color="111111" w:sz="6" w:space="0"/>
              <w:bottom w:val="single" w:color="111111" w:sz="6" w:space="0"/>
              <w:right w:val="single" w:color="111111" w:sz="6" w:space="0"/>
            </w:tcBorders>
            <w:shd w:val="clear" w:color="auto" w:fill="111111"/>
          </w:tcPr>
          <w:p w14:paraId="7F559FD9">
            <w:pPr>
              <w:jc w:val="center"/>
            </w:pPr>
            <w:r>
              <w:rPr>
                <w:b/>
                <w:color w:val="FFFFFF"/>
                <w:sz w:val="20"/>
              </w:rPr>
              <w:t>Toán tử &gt; / Out-File</w:t>
            </w:r>
          </w:p>
        </w:tc>
        <w:tc>
          <w:tcPr>
            <w:tcW w:w="3600" w:type="dxa"/>
            <w:tcBorders>
              <w:top w:val="single" w:color="111111" w:sz="6" w:space="0"/>
              <w:left w:val="single" w:color="111111" w:sz="6" w:space="0"/>
              <w:bottom w:val="single" w:color="111111" w:sz="6" w:space="0"/>
              <w:right w:val="single" w:color="111111" w:sz="6" w:space="0"/>
            </w:tcBorders>
            <w:shd w:val="clear" w:color="auto" w:fill="111111"/>
          </w:tcPr>
          <w:p w14:paraId="1632DD8E">
            <w:pPr>
              <w:jc w:val="center"/>
            </w:pPr>
            <w:r>
              <w:rPr>
                <w:b/>
                <w:color w:val="FFFFFF"/>
                <w:sz w:val="20"/>
              </w:rPr>
              <w:t>Toán tử &gt;&gt; / Add-Content</w:t>
            </w:r>
          </w:p>
        </w:tc>
      </w:tr>
      <w:tr w14:paraId="46724077">
        <w:tblPrEx>
          <w:tblCellMar>
            <w:top w:w="0" w:type="dxa"/>
            <w:left w:w="108" w:type="dxa"/>
            <w:bottom w:w="0" w:type="dxa"/>
            <w:right w:w="108" w:type="dxa"/>
          </w:tblCellMar>
        </w:tblPrEx>
        <w:trPr>
          <w:jc w:val="center"/>
        </w:trPr>
        <w:tc>
          <w:tcPr>
            <w:tcW w:w="2160" w:type="dxa"/>
            <w:tcBorders>
              <w:top w:val="single" w:color="111111" w:sz="6" w:space="0"/>
              <w:left w:val="single" w:color="111111" w:sz="6" w:space="0"/>
              <w:bottom w:val="single" w:color="111111" w:sz="6" w:space="0"/>
              <w:right w:val="single" w:color="111111" w:sz="6" w:space="0"/>
            </w:tcBorders>
            <w:shd w:val="clear" w:color="auto" w:fill="F2F2F2"/>
          </w:tcPr>
          <w:p w14:paraId="0B33296F">
            <w:pPr>
              <w:spacing w:before="80" w:after="80"/>
            </w:pPr>
            <w:r>
              <w:rPr>
                <w:sz w:val="19"/>
              </w:rPr>
              <w:t>Cơ chế hoạt động</w:t>
            </w:r>
          </w:p>
        </w:tc>
        <w:tc>
          <w:tcPr>
            <w:tcW w:w="3600" w:type="dxa"/>
            <w:tcBorders>
              <w:top w:val="single" w:color="111111" w:sz="6" w:space="0"/>
              <w:left w:val="single" w:color="111111" w:sz="6" w:space="0"/>
              <w:bottom w:val="single" w:color="111111" w:sz="6" w:space="0"/>
              <w:right w:val="single" w:color="111111" w:sz="6" w:space="0"/>
            </w:tcBorders>
            <w:shd w:val="clear" w:color="auto" w:fill="F2F2F2"/>
          </w:tcPr>
          <w:p w14:paraId="4224383A">
            <w:pPr>
              <w:spacing w:before="80" w:after="80"/>
            </w:pPr>
            <w:r>
              <w:rPr>
                <w:sz w:val="19"/>
              </w:rPr>
              <w:t>Ghi đè (Overwrite): Xóa toàn bộ nội dung cũ có trong file (nếu file đã tồn tại) rồi mới ghi dữ liệu mới vào. Tự tạo file mới nếu chưa có.</w:t>
            </w:r>
          </w:p>
        </w:tc>
        <w:tc>
          <w:tcPr>
            <w:tcW w:w="3600" w:type="dxa"/>
            <w:tcBorders>
              <w:top w:val="single" w:color="111111" w:sz="6" w:space="0"/>
              <w:left w:val="single" w:color="111111" w:sz="6" w:space="0"/>
              <w:bottom w:val="single" w:color="111111" w:sz="6" w:space="0"/>
              <w:right w:val="single" w:color="111111" w:sz="6" w:space="0"/>
            </w:tcBorders>
            <w:shd w:val="clear" w:color="auto" w:fill="F2F2F2"/>
          </w:tcPr>
          <w:p w14:paraId="696A19F5">
            <w:pPr>
              <w:spacing w:before="80" w:after="80"/>
            </w:pPr>
            <w:r>
              <w:rPr>
                <w:sz w:val="19"/>
              </w:rPr>
              <w:t>Ghi nối (Append): Giữ nguyên nội dung cũ và ghi thêm dữ liệu mới vào dòng cuối cùng của file. Tự tạo file mới nếu chưa có.</w:t>
            </w:r>
          </w:p>
        </w:tc>
      </w:tr>
      <w:tr w14:paraId="22C54C18">
        <w:tblPrEx>
          <w:tblCellMar>
            <w:top w:w="0" w:type="dxa"/>
            <w:left w:w="108" w:type="dxa"/>
            <w:bottom w:w="0" w:type="dxa"/>
            <w:right w:w="108" w:type="dxa"/>
          </w:tblCellMar>
        </w:tblPrEx>
        <w:trPr>
          <w:jc w:val="center"/>
        </w:trPr>
        <w:tc>
          <w:tcPr>
            <w:tcW w:w="2160" w:type="dxa"/>
            <w:tcBorders>
              <w:top w:val="single" w:color="111111" w:sz="6" w:space="0"/>
              <w:left w:val="single" w:color="111111" w:sz="6" w:space="0"/>
              <w:bottom w:val="single" w:color="111111" w:sz="6" w:space="0"/>
              <w:right w:val="single" w:color="111111" w:sz="6" w:space="0"/>
            </w:tcBorders>
            <w:shd w:val="clear" w:color="auto" w:fill="E6E6E6"/>
          </w:tcPr>
          <w:p w14:paraId="57CDD96D">
            <w:pPr>
              <w:spacing w:before="80" w:after="80"/>
            </w:pPr>
            <w:r>
              <w:rPr>
                <w:sz w:val="19"/>
              </w:rPr>
              <w:t>Rủi ro mất dữ liệu</w:t>
            </w:r>
          </w:p>
        </w:tc>
        <w:tc>
          <w:tcPr>
            <w:tcW w:w="3600" w:type="dxa"/>
            <w:tcBorders>
              <w:top w:val="single" w:color="111111" w:sz="6" w:space="0"/>
              <w:left w:val="single" w:color="111111" w:sz="6" w:space="0"/>
              <w:bottom w:val="single" w:color="111111" w:sz="6" w:space="0"/>
              <w:right w:val="single" w:color="111111" w:sz="6" w:space="0"/>
            </w:tcBorders>
            <w:shd w:val="clear" w:color="auto" w:fill="E6E6E6"/>
          </w:tcPr>
          <w:p w14:paraId="528B3DC0">
            <w:pPr>
              <w:spacing w:before="80" w:after="80"/>
            </w:pPr>
            <w:r>
              <w:rPr>
                <w:sz w:val="19"/>
              </w:rPr>
              <w:t>Rất cao. Nếu chạy script nhiều lần hoặc ghi đè nhầm, toàn bộ lịch sử log/báo cáo trước đó sẽ vĩnh viễn biến mất.</w:t>
            </w:r>
          </w:p>
        </w:tc>
        <w:tc>
          <w:tcPr>
            <w:tcW w:w="3600" w:type="dxa"/>
            <w:tcBorders>
              <w:top w:val="single" w:color="111111" w:sz="6" w:space="0"/>
              <w:left w:val="single" w:color="111111" w:sz="6" w:space="0"/>
              <w:bottom w:val="single" w:color="111111" w:sz="6" w:space="0"/>
              <w:right w:val="single" w:color="111111" w:sz="6" w:space="0"/>
            </w:tcBorders>
            <w:shd w:val="clear" w:color="auto" w:fill="E6E6E6"/>
          </w:tcPr>
          <w:p w14:paraId="665BB20C">
            <w:pPr>
              <w:spacing w:before="80" w:after="80"/>
            </w:pPr>
            <w:r>
              <w:rPr>
                <w:sz w:val="19"/>
              </w:rPr>
              <w:t>Thấp và an toàn hơn. Dữ liệu cũ được bảo toàn tuyệt đối, chỉ cộng dồn thêm các dòng log phát sinh mới theo thời gian.</w:t>
            </w:r>
          </w:p>
        </w:tc>
      </w:tr>
      <w:tr w14:paraId="5740C384">
        <w:tblPrEx>
          <w:tblCellMar>
            <w:top w:w="0" w:type="dxa"/>
            <w:left w:w="108" w:type="dxa"/>
            <w:bottom w:w="0" w:type="dxa"/>
            <w:right w:w="108" w:type="dxa"/>
          </w:tblCellMar>
        </w:tblPrEx>
        <w:trPr>
          <w:jc w:val="center"/>
        </w:trPr>
        <w:tc>
          <w:tcPr>
            <w:tcW w:w="2160" w:type="dxa"/>
            <w:tcBorders>
              <w:top w:val="single" w:color="111111" w:sz="6" w:space="0"/>
              <w:left w:val="single" w:color="111111" w:sz="6" w:space="0"/>
              <w:bottom w:val="single" w:color="111111" w:sz="6" w:space="0"/>
              <w:right w:val="single" w:color="111111" w:sz="6" w:space="0"/>
            </w:tcBorders>
            <w:shd w:val="clear" w:color="auto" w:fill="F2F2F2"/>
          </w:tcPr>
          <w:p w14:paraId="118E7788">
            <w:pPr>
              <w:spacing w:before="80" w:after="80"/>
            </w:pPr>
            <w:r>
              <w:rPr>
                <w:sz w:val="19"/>
              </w:rPr>
              <w:t>Ngữ cảnh sử dụng</w:t>
            </w:r>
          </w:p>
        </w:tc>
        <w:tc>
          <w:tcPr>
            <w:tcW w:w="3600" w:type="dxa"/>
            <w:tcBorders>
              <w:top w:val="single" w:color="111111" w:sz="6" w:space="0"/>
              <w:left w:val="single" w:color="111111" w:sz="6" w:space="0"/>
              <w:bottom w:val="single" w:color="111111" w:sz="6" w:space="0"/>
              <w:right w:val="single" w:color="111111" w:sz="6" w:space="0"/>
            </w:tcBorders>
            <w:shd w:val="clear" w:color="auto" w:fill="F2F2F2"/>
          </w:tcPr>
          <w:p w14:paraId="0AA5EC19">
            <w:pPr>
              <w:spacing w:before="80" w:after="80"/>
            </w:pPr>
            <w:r>
              <w:rPr>
                <w:sz w:val="19"/>
              </w:rPr>
              <w:t>Ca sáng / Báo cáo mới: Phù hợp khi cần tạo mới hoàn toàn một file báo cáo sạch sẽ mỗi lần chạy script (xóa sạch dữ liệu cũ).</w:t>
            </w:r>
          </w:p>
        </w:tc>
        <w:tc>
          <w:tcPr>
            <w:tcW w:w="3600" w:type="dxa"/>
            <w:tcBorders>
              <w:top w:val="single" w:color="111111" w:sz="6" w:space="0"/>
              <w:left w:val="single" w:color="111111" w:sz="6" w:space="0"/>
              <w:bottom w:val="single" w:color="111111" w:sz="6" w:space="0"/>
              <w:right w:val="single" w:color="111111" w:sz="6" w:space="0"/>
            </w:tcBorders>
            <w:shd w:val="clear" w:color="auto" w:fill="F2F2F2"/>
          </w:tcPr>
          <w:p w14:paraId="195FA6A2">
            <w:pPr>
              <w:spacing w:before="80" w:after="80"/>
            </w:pPr>
            <w:r>
              <w:rPr>
                <w:sz w:val="19"/>
              </w:rPr>
              <w:t>Theo dõi 24/7 / Nhật ký hệ thống: Phù hợp cho việc ghi log liên tục, giám sát hệ thống dài hạn mà không làm mất lịch sử sự kiện.</w:t>
            </w:r>
          </w:p>
        </w:tc>
      </w:tr>
    </w:tbl>
    <w:p w14:paraId="48F5F23D">
      <w:pPr>
        <w:spacing w:before="120"/>
      </w:pPr>
    </w:p>
    <w:p w14:paraId="3939923A">
      <w:pPr>
        <w:keepNext/>
        <w:spacing w:before="280" w:after="120"/>
      </w:pPr>
      <w:r>
        <w:rPr>
          <w:b/>
          <w:color w:val="333333"/>
          <w:sz w:val="26"/>
        </w:rPr>
        <w:t>Phần 2: Cảnh báo &amp; Thảm họa mất dữ liệu trong môi trường ngân hàng</w:t>
      </w:r>
    </w:p>
    <w:p w14:paraId="1E06689A">
      <w:pPr>
        <w:spacing w:after="120"/>
      </w:pPr>
      <w:r>
        <w:t xml:space="preserve">Trong môi trường vận hành hạ tầng công nghệ của ngân hàng, file nhật ký (như </w:t>
      </w:r>
      <w:r>
        <w:rPr>
          <w:rFonts w:ascii="Consolas" w:hAnsi="Consolas"/>
        </w:rPr>
        <w:t>history.txt</w:t>
      </w:r>
      <w:r>
        <w:t xml:space="preserve"> hoặc các tệp </w:t>
      </w:r>
      <w:r>
        <w:rPr>
          <w:rFonts w:ascii="Consolas" w:hAnsi="Consolas"/>
        </w:rPr>
        <w:t>access.log</w:t>
      </w:r>
      <w:r>
        <w:t>) đóng vai trò là **tài liệu pháp lý và kỹ thuật tối quan trọng** để kiểm toán, truy vết giao dịch, điều tra sự cố bảo mật hoặc rà soát lỗi phát sinh.</w:t>
      </w:r>
    </w:p>
    <w:tbl>
      <w:tblPr>
        <w:tblStyle w:val="12"/>
        <w:tblW w:w="0" w:type="auto"/>
        <w:jc w:val="center"/>
        <w:tblLayout w:type="fixed"/>
        <w:tblCellMar>
          <w:top w:w="0" w:type="dxa"/>
          <w:left w:w="108" w:type="dxa"/>
          <w:bottom w:w="0" w:type="dxa"/>
          <w:right w:w="108" w:type="dxa"/>
        </w:tblCellMar>
      </w:tblPr>
      <w:tblGrid>
        <w:gridCol w:w="9360"/>
      </w:tblGrid>
      <w:tr w14:paraId="43312D24">
        <w:tblPrEx>
          <w:tblCellMar>
            <w:top w:w="0" w:type="dxa"/>
            <w:left w:w="108" w:type="dxa"/>
            <w:bottom w:w="0" w:type="dxa"/>
            <w:right w:w="108" w:type="dxa"/>
          </w:tblCellMar>
        </w:tblPrEx>
        <w:trPr>
          <w:jc w:val="center"/>
        </w:trPr>
        <w:tc>
          <w:tcPr>
            <w:tcW w:w="9360" w:type="dxa"/>
            <w:tcBorders>
              <w:top w:val="nil"/>
              <w:left w:val="single" w:color="111111" w:sz="24" w:space="0"/>
              <w:bottom w:val="nil"/>
              <w:right w:val="nil"/>
            </w:tcBorders>
            <w:shd w:val="clear" w:color="auto" w:fill="F4F4F5"/>
          </w:tcPr>
          <w:p w14:paraId="4B37FED8">
            <w:pPr>
              <w:spacing w:before="120" w:after="120"/>
              <w:ind w:left="144" w:right="144"/>
            </w:pPr>
            <w:r>
              <w:rPr>
                <w:b/>
                <w:color w:val="111111"/>
                <w:sz w:val="21"/>
              </w:rPr>
              <w:t>SO SÁNH TÁC ĐỘNG THỰC TẾ:</w:t>
            </w:r>
            <w:r>
              <w:rPr>
                <w:b/>
                <w:color w:val="111111"/>
                <w:sz w:val="21"/>
              </w:rPr>
              <w:br w:type="textWrapping"/>
            </w:r>
            <w:r>
              <w:rPr>
                <w:i/>
                <w:color w:val="333333"/>
                <w:sz w:val="20"/>
              </w:rPr>
              <w:t>"Fixed bug" &gt; history.txt  (GHI ĐÈ - XÓA SẠCH DỮ LIỆU CŨ)</w:t>
            </w:r>
            <w:r>
              <w:rPr>
                <w:i/>
                <w:color w:val="333333"/>
                <w:sz w:val="20"/>
              </w:rPr>
              <w:br w:type="textWrapping"/>
            </w:r>
            <w:r>
              <w:rPr>
                <w:i/>
                <w:color w:val="333333"/>
                <w:sz w:val="20"/>
              </w:rPr>
              <w:t>vs</w:t>
            </w:r>
            <w:r>
              <w:rPr>
                <w:i/>
                <w:color w:val="333333"/>
                <w:sz w:val="20"/>
              </w:rPr>
              <w:br w:type="textWrapping"/>
            </w:r>
            <w:r>
              <w:rPr>
                <w:i/>
                <w:color w:val="333333"/>
                <w:sz w:val="20"/>
              </w:rPr>
              <w:t>"Fixed bug" &gt;&gt; history.txt (GHI NỐI - BẢO TOÀN LỊCH SỬ NHẬT KÝ)</w:t>
            </w:r>
          </w:p>
        </w:tc>
      </w:tr>
    </w:tbl>
    <w:p w14:paraId="4656770A">
      <w:pPr>
        <w:spacing w:before="0" w:after="120"/>
      </w:pPr>
    </w:p>
    <w:p w14:paraId="704075E8">
      <w:pPr>
        <w:pStyle w:val="23"/>
      </w:pPr>
      <w:r>
        <w:rPr>
          <w:b/>
        </w:rPr>
        <w:t xml:space="preserve">Thảm họa mất dữ liệu: </w:t>
      </w:r>
      <w:r>
        <w:t xml:space="preserve">Khi lập trình viên hoặc kỹ sư vận hành gõ nhầm lệnh thành </w:t>
      </w:r>
      <w:r>
        <w:rPr>
          <w:rFonts w:ascii="Consolas" w:hAnsi="Consolas"/>
        </w:rPr>
        <w:t>"Fixed bug" &gt; history.txt</w:t>
      </w:r>
      <w:r>
        <w:t xml:space="preserve"> thay vì dùng toán tử ghi nối </w:t>
      </w:r>
      <w:r>
        <w:rPr>
          <w:rFonts w:ascii="Consolas" w:hAnsi="Consolas"/>
        </w:rPr>
        <w:t>&gt;&gt;</w:t>
      </w:r>
      <w:r>
        <w:t>, toàn bộ lịch sử ghi nhận sự kiện bảo trì, lỗi hệ thống và dấu vết hoạt động trước đó sẽ bị **xóa trắng ngay lập tức** mà không có hộp thoại cảnh báo nào xuất hiện.</w:t>
      </w:r>
    </w:p>
    <w:p w14:paraId="6E332964">
      <w:pPr>
        <w:pStyle w:val="23"/>
      </w:pPr>
      <w:r>
        <w:rPr>
          <w:b/>
        </w:rPr>
        <w:t xml:space="preserve">Hậu quả nghiêm trọng trong ngành Ngân hàng: </w:t>
      </w:r>
      <w:r>
        <w:t>Khi cơ quan quản lý, bộ phận kiểm toán hoặc đội ngũ an ninh mạng yêu cầu trích xuất nhật ký hoạt động trong ngày để điều tra sự cố, hệ thống lại chỉ chứa vài dòng code mới nhất do dữ liệu cũ đã bị ghi đè. Việc này gây tê liệt khả năng truy vết, làm mất dữ liệu bằng chứng không thể khôi phục và vi phạm nghiêm trọng các quy chuẩn vận hành an toàn thông tin của ngân hàng.</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D1472F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color w:val="333333"/>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599</Words>
  <Characters>2131</Characters>
  <Lines>0</Lines>
  <Paragraphs>0</Paragraphs>
  <TotalTime>0</TotalTime>
  <ScaleCrop>false</ScaleCrop>
  <LinksUpToDate>false</LinksUpToDate>
  <CharactersWithSpaces>2698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Đăng Khoa Võ Phan</cp:lastModifiedBy>
  <dcterms:modified xsi:type="dcterms:W3CDTF">2026-10-12T12:38:34Z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eyJoZGlkIjoiNGVhMjcwZTBiZGEzYzU2OTFlMzIyZjMxM2YwYTAwY2EiLCJ1c2VySWQiOiIxMzc0NDA2MzMzODA3In0=</vt:lpwstr>
  </property>
  <property fmtid="{D5CDD505-2E9C-101B-9397-08002B2CF9AE}" pid="3" name="KSOProductBuildVer">
    <vt:lpwstr>1033-12.1.0.28485</vt:lpwstr>
  </property>
  <property fmtid="{D5CDD505-2E9C-101B-9397-08002B2CF9AE}" pid="4" name="ICV">
    <vt:lpwstr>70B486CBC6F94EBA86EA6421C50E7666_12</vt:lpwstr>
  </property>
</Properties>
</file>