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A: SCREENSHOT CHECKLIST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Insert the following screenshots into Chapter Four, Section 4.7:</w:t>
      </w:r>
    </w:p>
    <w:p>
      <w:pPr>
        <w:pStyle w:val="ListBullet"/>
      </w:pPr>
      <w:r>
        <w:rPr>
          <w:rFonts w:ascii="Times New Roman" w:hAnsi="Times New Roman"/>
          <w:sz w:val="24"/>
        </w:rPr>
        <w:t>Figure 4.1 — Landing page (http://localhost:5173/)</w:t>
      </w:r>
    </w:p>
    <w:p>
      <w:pPr>
        <w:pStyle w:val="ListBullet"/>
      </w:pPr>
      <w:r>
        <w:rPr>
          <w:rFonts w:ascii="Times New Roman" w:hAnsi="Times New Roman"/>
          <w:sz w:val="24"/>
        </w:rPr>
        <w:t>Figure 4.2 — Report Crime – Step 1 (category selection)</w:t>
      </w:r>
    </w:p>
    <w:p>
      <w:pPr>
        <w:pStyle w:val="ListBullet"/>
      </w:pPr>
      <w:r>
        <w:rPr>
          <w:rFonts w:ascii="Times New Roman" w:hAnsi="Times New Roman"/>
          <w:sz w:val="24"/>
        </w:rPr>
        <w:t>Figure 4.3 — Report submission confirmation with Case ID</w:t>
      </w:r>
    </w:p>
    <w:p>
      <w:pPr>
        <w:pStyle w:val="ListBullet"/>
      </w:pPr>
      <w:r>
        <w:rPr>
          <w:rFonts w:ascii="Times New Roman" w:hAnsi="Times New Roman"/>
          <w:sz w:val="24"/>
        </w:rPr>
        <w:t>Figure 4.4 — Track Report page with case KFD-2026-489201</w:t>
      </w:r>
    </w:p>
    <w:p>
      <w:pPr>
        <w:pStyle w:val="ListBullet"/>
      </w:pPr>
      <w:r>
        <w:rPr>
          <w:rFonts w:ascii="Times New Roman" w:hAnsi="Times New Roman"/>
          <w:sz w:val="24"/>
        </w:rPr>
        <w:t>Figure 4.5 — Officer login page (http://localhost:5173/officer/login)</w:t>
      </w:r>
    </w:p>
    <w:p>
      <w:pPr>
        <w:pStyle w:val="ListBullet"/>
      </w:pPr>
      <w:r>
        <w:rPr>
          <w:rFonts w:ascii="Times New Roman" w:hAnsi="Times New Roman"/>
          <w:sz w:val="24"/>
        </w:rPr>
        <w:t>Figure 4.6 — Officer dashboard with charts</w:t>
      </w:r>
    </w:p>
    <w:p>
      <w:pPr>
        <w:pStyle w:val="ListBullet"/>
      </w:pPr>
      <w:r>
        <w:rPr>
          <w:rFonts w:ascii="Times New Roman" w:hAnsi="Times New Roman"/>
          <w:sz w:val="24"/>
        </w:rPr>
        <w:t>Figure 4.7 — Investigation page with notes and timeline</w:t>
      </w:r>
    </w:p>
    <w:p>
      <w:pPr>
        <w:pStyle w:val="ListBullet"/>
      </w:pPr>
      <w:r>
        <w:rPr>
          <w:rFonts w:ascii="Times New Roman" w:hAnsi="Times New Roman"/>
          <w:sz w:val="24"/>
        </w:rPr>
        <w:t>Figure 4.8 — Analytics page with zone charts</w:t>
      </w:r>
    </w:p>
    <w:p>
      <w:pPr>
        <w:pStyle w:val="ListBullet"/>
      </w:pPr>
      <w:r>
        <w:rPr>
          <w:rFonts w:ascii="Times New Roman" w:hAnsi="Times New Roman"/>
          <w:sz w:val="24"/>
        </w:rPr>
        <w:t>Figure 4.A — XAMPP MySQL running (optional)</w:t>
      </w:r>
    </w:p>
    <w:p>
      <w:pPr>
        <w:pStyle w:val="ListBullet"/>
      </w:pPr>
      <w:r>
        <w:rPr>
          <w:rFonts w:ascii="Times New Roman" w:hAnsi="Times New Roman"/>
          <w:sz w:val="24"/>
        </w:rPr>
        <w:t>Figure 4.A — API health check in browser (http://127.0.0.1:8000/api/health)</w:t>
      </w:r>
    </w:p>
    <w:p>
      <w:pPr>
        <w:pStyle w:val="Heading1"/>
      </w:pPr>
      <w:r>
        <w:t>APPENDIX B: OFFICER LOGIN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Portal URL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Investigator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k.mensah@ecrs.gov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http://localhost:5173/officer/login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Super Admin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n.adusei@ecrs.gov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http://localhost:5173/officer/login</w:t>
            </w:r>
          </w:p>
        </w:tc>
      </w:tr>
    </w:tbl>
    <w:p/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Demo case for tracking: KFD-2026-489201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