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595959"/>
          <w:spacing w:val="20"/>
          <w:sz w:val="22"/>
          <w:szCs w:val="22"/>
        </w:rPr>
        <w:t xml:space="preserve">MANIARVERSE CANON</w:t>
      </w:r>
    </w:p>
    <w:p>
      <w:pPr>
        <w:spacing w:after="500"/>
        <w:jc w:val="center"/>
      </w:pPr>
      <w:r>
        <w:rPr>
          <w:b/>
          <w:bCs/>
          <w:color w:val="8A6D3B"/>
          <w:sz w:val="24"/>
          <w:szCs w:val="24"/>
        </w:rPr>
        <w:t xml:space="preserve">MVLB-001</w:t>
      </w:r>
    </w:p>
    <w:p>
      <w:pPr>
        <w:spacing w:after="160"/>
        <w:jc w:val="center"/>
      </w:pPr>
      <w:r>
        <w:rPr>
          <w:b/>
          <w:bCs/>
          <w:color w:val="1F1F1F"/>
          <w:sz w:val="46"/>
          <w:szCs w:val="46"/>
        </w:rPr>
        <w:t xml:space="preserve">Maniarverse Visual Language Bible</w:t>
      </w:r>
    </w:p>
    <w:p>
      <w:pPr>
        <w:spacing w:after="300"/>
        <w:jc w:val="center"/>
      </w:pPr>
      <w:r>
        <w:rPr>
          <w:i/>
          <w:iCs/>
          <w:color w:val="595959"/>
          <w:sz w:val="24"/>
          <w:szCs w:val="24"/>
        </w:rPr>
        <w:t xml:space="preserve">This document defines the Visual DNA of Maniarverse.</w:t>
      </w:r>
    </w:p>
    <w:p>
      <w:pPr>
        <w:spacing w:after="700"/>
        <w:jc w:val="center"/>
      </w:pPr>
      <w:r>
        <w:rPr>
          <w:i/>
          <w:iCs/>
          <w:color w:val="595959"/>
          <w:sz w:val="20"/>
          <w:szCs w:val="20"/>
        </w:rPr>
        <w:t xml:space="preserve">Master Canon Document — Governs Character, Environment, and World Bibles</w:t>
      </w:r>
    </w:p>
    <w:p>
      <w:pPr>
        <w:spacing w:after="120"/>
        <w:jc w:val="center"/>
      </w:pPr>
      <w:r>
        <w:rPr>
          <w:color w:val="595959"/>
          <w:sz w:val="18"/>
          <w:szCs w:val="18"/>
        </w:rPr>
        <w:t xml:space="preserve">Production Document · Living Reference · Not a Finished Style Guide</w:t>
      </w:r>
    </w:p>
    <w:p>
      <w:pPr>
        <w:spacing w:after="1200"/>
        <w:jc w:val="center"/>
      </w:pPr>
      <w:r>
        <w:rPr>
          <w:i/>
          <w:iCs/>
          <w:color w:val="595959"/>
          <w:sz w:val="18"/>
          <w:szCs w:val="18"/>
        </w:rPr>
        <w:t xml:space="preserve">Prepared in the role of Visual Development Director, Art Director, and Chief Knowledge Architect (MOS)</w:t>
      </w:r>
    </w:p>
    <w:p>
      <w:pPr>
        <w:spacing w:after="60"/>
        <w:jc w:val="center"/>
      </w:pPr>
      <w:r>
        <w:rPr>
          <w:b/>
          <w:bCs/>
          <w:i/>
          <w:iCs/>
          <w:color w:val="8A2E2E"/>
          <w:sz w:val="16"/>
          <w:szCs w:val="16"/>
        </w:rPr>
        <w:t xml:space="preserve">This build contains Chapter 1 (Foundations) only. Chapters 2–20 to follow in subsequent revisions.</w:t>
      </w:r>
    </w:p>
    <w:p>
      <w:pPr>
        <w:jc w:val="center"/>
      </w:pPr>
      <w:r>
        <w:rPr>
          <w:color w:val="595959"/>
          <w:sz w:val="18"/>
          <w:szCs w:val="18"/>
        </w:rPr>
        <w:t xml:space="preserve">Designation: MVLB-001 · Version 0.1 (Chapter 1 of 20)</w:t>
      </w:r>
    </w:p>
    <w:p>
      <w:r>
        <w:br w:type="page"/>
      </w:r>
    </w:p>
    <w:p>
      <w:pPr>
        <w:pStyle w:val="Heading1"/>
        <w:pBdr>
          <w:bottom w:val="single" w:color="8A6D3B" w:sz="6" w:space="4"/>
        </w:pBdr>
        <w:spacing w:after="240" w:before="480"/>
      </w:pPr>
      <w:r>
        <w:rPr>
          <w:b/>
          <w:bCs/>
          <w:color w:val="1F1F1F"/>
          <w:sz w:val="30"/>
          <w:szCs w:val="30"/>
        </w:rPr>
        <w:t xml:space="preserve">How to Read This Document</w:t>
      </w:r>
    </w:p>
    <w:p>
      <w:pPr>
        <w:spacing w:after="160" w:line="300"/>
      </w:pPr>
      <w:r>
        <w:rPr>
          <w:color w:val="1F1F1F"/>
          <w:sz w:val="21"/>
          <w:szCs w:val="21"/>
        </w:rPr>
        <w:t xml:space="preserve">Every chapter in this Bible follows the same seven-part structure, so that any reader — Art Director, concept artist, or a Founder reviewing a decision — knows exactly where to find what they need: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900"/>
      </w:tblGrid>
      <w:tr>
        <w:trPr>
          <w:tblHeader/>
        </w:trPr>
        <w:tc>
          <w:tcPr>
            <w:tcW w:type="dxa" w:w="700"/>
            <w:shd w:fill="1F1F1F" w:color="auto" w:val="clear"/>
            <w:tcMar>
              <w:top w:type="dxa" w:w="90"/>
              <w:left w:type="dxa" w:w="110"/>
              <w:bottom w:type="dxa" w:w="90"/>
              <w:right w:type="dxa" w:w="110"/>
            </w:tcMar>
          </w:tcPr>
          <w:p>
            <w:r>
              <w:rPr>
                <w:b/>
                <w:bCs/>
                <w:color w:val="FFFFFF"/>
                <w:sz w:val="19"/>
                <w:szCs w:val="19"/>
              </w:rPr>
              <w:t xml:space="preserve">#</w:t>
            </w:r>
          </w:p>
        </w:tc>
        <w:tc>
          <w:tcPr>
            <w:tcW w:type="dxa" w:w="2800"/>
            <w:shd w:fill="1F1F1F" w:color="auto" w:val="clear"/>
            <w:tcMar>
              <w:top w:type="dxa" w:w="90"/>
              <w:left w:type="dxa" w:w="110"/>
              <w:bottom w:type="dxa" w:w="90"/>
              <w:right w:type="dxa" w:w="110"/>
            </w:tcMar>
          </w:tcPr>
          <w:p>
            <w:r>
              <w:rPr>
                <w:b/>
                <w:bCs/>
                <w:color w:val="FFFFFF"/>
                <w:sz w:val="19"/>
                <w:szCs w:val="19"/>
              </w:rPr>
              <w:t xml:space="preserve">Part</w:t>
            </w:r>
          </w:p>
        </w:tc>
        <w:tc>
          <w:tcPr>
            <w:tcW w:type="dxa" w:w="5900"/>
            <w:shd w:fill="1F1F1F" w:color="auto" w:val="clear"/>
            <w:tcMar>
              <w:top w:type="dxa" w:w="90"/>
              <w:left w:type="dxa" w:w="110"/>
              <w:bottom w:type="dxa" w:w="90"/>
              <w:right w:type="dxa" w:w="110"/>
            </w:tcMar>
          </w:tcPr>
          <w:p>
            <w:r>
              <w:rPr>
                <w:b/>
                <w:bCs/>
                <w:color w:val="FFFFFF"/>
                <w:sz w:val="19"/>
                <w:szCs w:val="19"/>
              </w:rPr>
              <w:t xml:space="preserve">Answers</w:t>
            </w:r>
          </w:p>
        </w:tc>
      </w:tr>
      <w:tr>
        <w:tc>
          <w:tcPr>
            <w:tcW w:type="dxa" w:w="700"/>
            <w:tcMar>
              <w:top w:type="dxa" w:w="90"/>
              <w:left w:type="dxa" w:w="110"/>
              <w:bottom w:type="dxa" w:w="90"/>
              <w:right w:type="dxa" w:w="110"/>
            </w:tcMar>
          </w:tcPr>
          <w:p>
            <w:r>
              <w:rPr>
                <w:b w:val="false"/>
                <w:bCs w:val="false"/>
                <w:color w:val="1F1F1F"/>
                <w:sz w:val="19"/>
                <w:szCs w:val="19"/>
              </w:rPr>
              <w:t xml:space="preserve">1</w:t>
            </w:r>
          </w:p>
        </w:tc>
        <w:tc>
          <w:tcPr>
            <w:tcW w:type="dxa" w:w="2800"/>
            <w:tcMar>
              <w:top w:type="dxa" w:w="90"/>
              <w:left w:type="dxa" w:w="110"/>
              <w:bottom w:type="dxa" w:w="90"/>
              <w:right w:type="dxa" w:w="110"/>
            </w:tcMar>
          </w:tcPr>
          <w:p>
            <w:r>
              <w:rPr>
                <w:b w:val="false"/>
                <w:bCs w:val="false"/>
                <w:color w:val="1F1F1F"/>
                <w:sz w:val="19"/>
                <w:szCs w:val="19"/>
              </w:rPr>
              <w:t xml:space="preserve">Purpose</w:t>
            </w:r>
          </w:p>
        </w:tc>
        <w:tc>
          <w:tcPr>
            <w:tcW w:type="dxa" w:w="5900"/>
            <w:tcMar>
              <w:top w:type="dxa" w:w="90"/>
              <w:left w:type="dxa" w:w="110"/>
              <w:bottom w:type="dxa" w:w="90"/>
              <w:right w:type="dxa" w:w="110"/>
            </w:tcMar>
          </w:tcPr>
          <w:p>
            <w:r>
              <w:rPr>
                <w:b w:val="false"/>
                <w:bCs w:val="false"/>
                <w:color w:val="1F1F1F"/>
                <w:sz w:val="19"/>
                <w:szCs w:val="19"/>
              </w:rPr>
              <w:t xml:space="preserve">What problem does this chapter solve?</w:t>
            </w:r>
          </w:p>
        </w:tc>
      </w:tr>
      <w:tr>
        <w:tc>
          <w:tcPr>
            <w:tcW w:type="dxa" w:w="700"/>
            <w:tcMar>
              <w:top w:type="dxa" w:w="90"/>
              <w:left w:type="dxa" w:w="110"/>
              <w:bottom w:type="dxa" w:w="90"/>
              <w:right w:type="dxa" w:w="110"/>
            </w:tcMar>
          </w:tcPr>
          <w:p>
            <w:r>
              <w:rPr>
                <w:b w:val="false"/>
                <w:bCs w:val="false"/>
                <w:color w:val="1F1F1F"/>
                <w:sz w:val="19"/>
                <w:szCs w:val="19"/>
              </w:rPr>
              <w:t xml:space="preserve">2</w:t>
            </w:r>
          </w:p>
        </w:tc>
        <w:tc>
          <w:tcPr>
            <w:tcW w:type="dxa" w:w="2800"/>
            <w:tcMar>
              <w:top w:type="dxa" w:w="90"/>
              <w:left w:type="dxa" w:w="110"/>
              <w:bottom w:type="dxa" w:w="90"/>
              <w:right w:type="dxa" w:w="110"/>
            </w:tcMar>
          </w:tcPr>
          <w:p>
            <w:r>
              <w:rPr>
                <w:b w:val="false"/>
                <w:bCs w:val="false"/>
                <w:color w:val="1F1F1F"/>
                <w:sz w:val="19"/>
                <w:szCs w:val="19"/>
              </w:rPr>
              <w:t xml:space="preserve">Principles</w:t>
            </w:r>
          </w:p>
        </w:tc>
        <w:tc>
          <w:tcPr>
            <w:tcW w:type="dxa" w:w="5900"/>
            <w:tcMar>
              <w:top w:type="dxa" w:w="90"/>
              <w:left w:type="dxa" w:w="110"/>
              <w:bottom w:type="dxa" w:w="90"/>
              <w:right w:type="dxa" w:w="110"/>
            </w:tcMar>
          </w:tcPr>
          <w:p>
            <w:r>
              <w:rPr>
                <w:b w:val="false"/>
                <w:bCs w:val="false"/>
                <w:color w:val="1F1F1F"/>
                <w:sz w:val="19"/>
                <w:szCs w:val="19"/>
              </w:rPr>
              <w:t xml:space="preserve">The definite rules and Canon of this chapter.</w:t>
            </w:r>
          </w:p>
        </w:tc>
      </w:tr>
      <w:tr>
        <w:tc>
          <w:tcPr>
            <w:tcW w:type="dxa" w:w="700"/>
            <w:tcMar>
              <w:top w:type="dxa" w:w="90"/>
              <w:left w:type="dxa" w:w="110"/>
              <w:bottom w:type="dxa" w:w="90"/>
              <w:right w:type="dxa" w:w="110"/>
            </w:tcMar>
          </w:tcPr>
          <w:p>
            <w:r>
              <w:rPr>
                <w:b w:val="false"/>
                <w:bCs w:val="false"/>
                <w:color w:val="1F1F1F"/>
                <w:sz w:val="19"/>
                <w:szCs w:val="19"/>
              </w:rPr>
              <w:t xml:space="preserve">3</w:t>
            </w:r>
          </w:p>
        </w:tc>
        <w:tc>
          <w:tcPr>
            <w:tcW w:type="dxa" w:w="2800"/>
            <w:tcMar>
              <w:top w:type="dxa" w:w="90"/>
              <w:left w:type="dxa" w:w="110"/>
              <w:bottom w:type="dxa" w:w="90"/>
              <w:right w:type="dxa" w:w="110"/>
            </w:tcMar>
          </w:tcPr>
          <w:p>
            <w:r>
              <w:rPr>
                <w:b w:val="false"/>
                <w:bCs w:val="false"/>
                <w:color w:val="1F1F1F"/>
                <w:sz w:val="19"/>
                <w:szCs w:val="19"/>
              </w:rPr>
              <w:t xml:space="preserve">Rationale</w:t>
            </w:r>
          </w:p>
        </w:tc>
        <w:tc>
          <w:tcPr>
            <w:tcW w:type="dxa" w:w="5900"/>
            <w:tcMar>
              <w:top w:type="dxa" w:w="90"/>
              <w:left w:type="dxa" w:w="110"/>
              <w:bottom w:type="dxa" w:w="90"/>
              <w:right w:type="dxa" w:w="110"/>
            </w:tcMar>
          </w:tcPr>
          <w:p>
            <w:r>
              <w:rPr>
                <w:b w:val="false"/>
                <w:bCs w:val="false"/>
                <w:color w:val="1F1F1F"/>
                <w:sz w:val="19"/>
                <w:szCs w:val="19"/>
              </w:rPr>
              <w:t xml:space="preserve">Why does this rule exist?</w:t>
            </w:r>
          </w:p>
        </w:tc>
      </w:tr>
      <w:tr>
        <w:tc>
          <w:tcPr>
            <w:tcW w:type="dxa" w:w="700"/>
            <w:tcMar>
              <w:top w:type="dxa" w:w="90"/>
              <w:left w:type="dxa" w:w="110"/>
              <w:bottom w:type="dxa" w:w="90"/>
              <w:right w:type="dxa" w:w="110"/>
            </w:tcMar>
          </w:tcPr>
          <w:p>
            <w:r>
              <w:rPr>
                <w:b w:val="false"/>
                <w:bCs w:val="false"/>
                <w:color w:val="1F1F1F"/>
                <w:sz w:val="19"/>
                <w:szCs w:val="19"/>
              </w:rPr>
              <w:t xml:space="preserve">4</w:t>
            </w:r>
          </w:p>
        </w:tc>
        <w:tc>
          <w:tcPr>
            <w:tcW w:type="dxa" w:w="2800"/>
            <w:tcMar>
              <w:top w:type="dxa" w:w="90"/>
              <w:left w:type="dxa" w:w="110"/>
              <w:bottom w:type="dxa" w:w="90"/>
              <w:right w:type="dxa" w:w="110"/>
            </w:tcMar>
          </w:tcPr>
          <w:p>
            <w:r>
              <w:rPr>
                <w:b w:val="false"/>
                <w:bCs w:val="false"/>
                <w:color w:val="1F1F1F"/>
                <w:sz w:val="19"/>
                <w:szCs w:val="19"/>
              </w:rPr>
              <w:t xml:space="preserve">Production Impact</w:t>
            </w:r>
          </w:p>
        </w:tc>
        <w:tc>
          <w:tcPr>
            <w:tcW w:type="dxa" w:w="5900"/>
            <w:tcMar>
              <w:top w:type="dxa" w:w="90"/>
              <w:left w:type="dxa" w:w="110"/>
              <w:bottom w:type="dxa" w:w="90"/>
              <w:right w:type="dxa" w:w="110"/>
            </w:tcMar>
          </w:tcPr>
          <w:p>
            <w:r>
              <w:rPr>
                <w:b w:val="false"/>
                <w:bCs w:val="false"/>
                <w:color w:val="1F1F1F"/>
                <w:sz w:val="19"/>
                <w:szCs w:val="19"/>
              </w:rPr>
              <w:t xml:space="preserve">How does a graphic artist, concept artist, or animator actually use this?</w:t>
            </w:r>
          </w:p>
        </w:tc>
      </w:tr>
      <w:tr>
        <w:tc>
          <w:tcPr>
            <w:tcW w:type="dxa" w:w="700"/>
            <w:tcMar>
              <w:top w:type="dxa" w:w="90"/>
              <w:left w:type="dxa" w:w="110"/>
              <w:bottom w:type="dxa" w:w="90"/>
              <w:right w:type="dxa" w:w="110"/>
            </w:tcMar>
          </w:tcPr>
          <w:p>
            <w:r>
              <w:rPr>
                <w:b w:val="false"/>
                <w:bCs w:val="false"/>
                <w:color w:val="1F1F1F"/>
                <w:sz w:val="19"/>
                <w:szCs w:val="19"/>
              </w:rPr>
              <w:t xml:space="preserve">5</w:t>
            </w:r>
          </w:p>
        </w:tc>
        <w:tc>
          <w:tcPr>
            <w:tcW w:type="dxa" w:w="2800"/>
            <w:tcMar>
              <w:top w:type="dxa" w:w="90"/>
              <w:left w:type="dxa" w:w="110"/>
              <w:bottom w:type="dxa" w:w="90"/>
              <w:right w:type="dxa" w:w="110"/>
            </w:tcMar>
          </w:tcPr>
          <w:p>
            <w:r>
              <w:rPr>
                <w:b w:val="false"/>
                <w:bCs w:val="false"/>
                <w:color w:val="1F1F1F"/>
                <w:sz w:val="19"/>
                <w:szCs w:val="19"/>
              </w:rPr>
              <w:t xml:space="preserve">Good / Bad Examples</w:t>
            </w:r>
          </w:p>
        </w:tc>
        <w:tc>
          <w:tcPr>
            <w:tcW w:type="dxa" w:w="5900"/>
            <w:tcMar>
              <w:top w:type="dxa" w:w="90"/>
              <w:left w:type="dxa" w:w="110"/>
              <w:bottom w:type="dxa" w:w="90"/>
              <w:right w:type="dxa" w:w="110"/>
            </w:tcMar>
          </w:tcPr>
          <w:p>
            <w:r>
              <w:rPr>
                <w:b w:val="false"/>
                <w:bCs w:val="false"/>
                <w:color w:val="1F1F1F"/>
                <w:sz w:val="19"/>
                <w:szCs w:val="19"/>
              </w:rPr>
              <w:t xml:space="preserve">Concrete right and wrong applications, textual first, then visual.</w:t>
            </w:r>
          </w:p>
        </w:tc>
      </w:tr>
      <w:tr>
        <w:tc>
          <w:tcPr>
            <w:tcW w:type="dxa" w:w="700"/>
            <w:tcMar>
              <w:top w:type="dxa" w:w="90"/>
              <w:left w:type="dxa" w:w="110"/>
              <w:bottom w:type="dxa" w:w="90"/>
              <w:right w:type="dxa" w:w="110"/>
            </w:tcMar>
          </w:tcPr>
          <w:p>
            <w:r>
              <w:rPr>
                <w:b w:val="false"/>
                <w:bCs w:val="false"/>
                <w:color w:val="1F1F1F"/>
                <w:sz w:val="19"/>
                <w:szCs w:val="19"/>
              </w:rPr>
              <w:t xml:space="preserve">6</w:t>
            </w:r>
          </w:p>
        </w:tc>
        <w:tc>
          <w:tcPr>
            <w:tcW w:type="dxa" w:w="2800"/>
            <w:tcMar>
              <w:top w:type="dxa" w:w="90"/>
              <w:left w:type="dxa" w:w="110"/>
              <w:bottom w:type="dxa" w:w="90"/>
              <w:right w:type="dxa" w:w="110"/>
            </w:tcMar>
          </w:tcPr>
          <w:p>
            <w:r>
              <w:rPr>
                <w:b w:val="false"/>
                <w:bCs w:val="false"/>
                <w:color w:val="1F1F1F"/>
                <w:sz w:val="19"/>
                <w:szCs w:val="19"/>
              </w:rPr>
              <w:t xml:space="preserve">Canon Cross-References</w:t>
            </w:r>
          </w:p>
        </w:tc>
        <w:tc>
          <w:tcPr>
            <w:tcW w:type="dxa" w:w="5900"/>
            <w:tcMar>
              <w:top w:type="dxa" w:w="90"/>
              <w:left w:type="dxa" w:w="110"/>
              <w:bottom w:type="dxa" w:w="90"/>
              <w:right w:type="dxa" w:w="110"/>
            </w:tcMar>
          </w:tcPr>
          <w:p>
            <w:r>
              <w:rPr>
                <w:b w:val="false"/>
                <w:bCs w:val="false"/>
                <w:color w:val="1F1F1F"/>
                <w:sz w:val="19"/>
                <w:szCs w:val="19"/>
              </w:rPr>
              <w:t xml:space="preserve">Which other Canon documents this chapter touches or depends on.</w:t>
            </w:r>
          </w:p>
        </w:tc>
      </w:tr>
      <w:tr>
        <w:tc>
          <w:tcPr>
            <w:tcW w:type="dxa" w:w="700"/>
            <w:tcMar>
              <w:top w:type="dxa" w:w="90"/>
              <w:left w:type="dxa" w:w="110"/>
              <w:bottom w:type="dxa" w:w="90"/>
              <w:right w:type="dxa" w:w="110"/>
            </w:tcMar>
          </w:tcPr>
          <w:p>
            <w:r>
              <w:rPr>
                <w:b w:val="false"/>
                <w:bCs w:val="false"/>
                <w:color w:val="1F1F1F"/>
                <w:sz w:val="19"/>
                <w:szCs w:val="19"/>
              </w:rPr>
              <w:t xml:space="preserve">7</w:t>
            </w:r>
          </w:p>
        </w:tc>
        <w:tc>
          <w:tcPr>
            <w:tcW w:type="dxa" w:w="2800"/>
            <w:tcMar>
              <w:top w:type="dxa" w:w="90"/>
              <w:left w:type="dxa" w:w="110"/>
              <w:bottom w:type="dxa" w:w="90"/>
              <w:right w:type="dxa" w:w="110"/>
            </w:tcMar>
          </w:tcPr>
          <w:p>
            <w:r>
              <w:rPr>
                <w:b w:val="false"/>
                <w:bCs w:val="false"/>
                <w:color w:val="1F1F1F"/>
                <w:sz w:val="19"/>
                <w:szCs w:val="19"/>
              </w:rPr>
              <w:t xml:space="preserve">Open Decisions</w:t>
            </w:r>
          </w:p>
        </w:tc>
        <w:tc>
          <w:tcPr>
            <w:tcW w:type="dxa" w:w="5900"/>
            <w:tcMar>
              <w:top w:type="dxa" w:w="90"/>
              <w:left w:type="dxa" w:w="110"/>
              <w:bottom w:type="dxa" w:w="90"/>
              <w:right w:type="dxa" w:w="110"/>
            </w:tcMar>
          </w:tcPr>
          <w:p>
            <w:r>
              <w:rPr>
                <w:b w:val="false"/>
                <w:bCs w:val="false"/>
                <w:color w:val="1F1F1F"/>
                <w:sz w:val="19"/>
                <w:szCs w:val="19"/>
              </w:rPr>
              <w:t xml:space="preserve">What still requires a Founder decision.</w:t>
            </w:r>
          </w:p>
        </w:tc>
      </w:tr>
    </w:tbl>
    <w:p>
      <w:pPr>
        <w:spacing w:after="160" w:line="300"/>
      </w:pPr>
      <w:r>
        <w:rPr>
          <w:color w:val="1F1F1F"/>
          <w:sz w:val="21"/>
          <w:szCs w:val="21"/>
        </w:rPr>
        <w:t xml:space="preserve">Every rule in this document carries one of four status tags:</w:t>
      </w:r>
    </w:p>
    <w:p>
      <w:pPr>
        <w:spacing w:after="130" w:line="300"/>
      </w:pPr>
      <w:r>
        <w:rPr>
          <w:b/>
          <w:bCs/>
          <w:color w:val="2E5C3E"/>
          <w:sz w:val="20"/>
          <w:szCs w:val="20"/>
        </w:rPr>
        <w:t xml:space="preserve">[CANON]</w:t>
      </w:r>
      <w:r>
        <w:rPr>
          <w:color w:val="1F1F1F"/>
          <w:sz w:val="21"/>
          <w:szCs w:val="21"/>
        </w:rPr>
        <w:t xml:space="preserve">  A definite, non-negotiable rule. Changing a [CANON] item requires the same amendment process as any other Canon rule (MCP-001 §8).</w:t>
      </w:r>
    </w:p>
    <w:p>
      <w:pPr>
        <w:spacing w:after="130" w:line="300"/>
      </w:pPr>
      <w:r>
        <w:rPr>
          <w:b/>
          <w:bCs/>
          <w:color w:val="8A6D2E"/>
          <w:sz w:val="20"/>
          <w:szCs w:val="20"/>
        </w:rPr>
        <w:t xml:space="preserve">[GUIDELINE]</w:t>
      </w:r>
      <w:r>
        <w:rPr>
          <w:color w:val="1F1F1F"/>
          <w:sz w:val="21"/>
          <w:szCs w:val="21"/>
        </w:rPr>
        <w:t xml:space="preserve">  A strong recommendation. Deviating from a [GUIDELINE] is possible with Founder or Art Director approval, but the default is to follow it.</w:t>
      </w:r>
    </w:p>
    <w:p>
      <w:pPr>
        <w:spacing w:after="130" w:line="300"/>
      </w:pPr>
      <w:r>
        <w:rPr>
          <w:b/>
          <w:bCs/>
          <w:color w:val="2E4E6D"/>
          <w:sz w:val="20"/>
          <w:szCs w:val="20"/>
        </w:rPr>
        <w:t xml:space="preserve">[BEST PRACTICE]</w:t>
      </w:r>
      <w:r>
        <w:rPr>
          <w:color w:val="1F1F1F"/>
          <w:sz w:val="21"/>
          <w:szCs w:val="21"/>
        </w:rPr>
        <w:t xml:space="preserve">  A suggested practice drawn from production experience. Helpful, not mandatory.</w:t>
      </w:r>
    </w:p>
    <w:p>
      <w:pPr>
        <w:shd w:fill="FBF3E5" w:color="auto" w:val="clear"/>
        <w:spacing w:after="130" w:line="300"/>
      </w:pPr>
      <w:r>
        <w:rPr>
          <w:b/>
          <w:bCs/>
          <w:color w:val="8A2E2E"/>
          <w:sz w:val="20"/>
          <w:szCs w:val="20"/>
        </w:rPr>
        <w:t xml:space="preserve">[OPEN]</w:t>
      </w:r>
      <w:r>
        <w:rPr>
          <w:i/>
          <w:iCs/>
          <w:color w:val="1F1F1F"/>
          <w:sz w:val="21"/>
          <w:szCs w:val="21"/>
        </w:rPr>
        <w:t xml:space="preserve">  Not yet decided. Requires a Founder decision before it can be treated as settled.</w:t>
      </w:r>
    </w:p>
    <w:p>
      <w:pPr>
        <w:spacing w:after="160" w:line="300"/>
      </w:pPr>
      <w:r>
        <w:rPr>
          <w:color w:val="1F1F1F"/>
          <w:sz w:val="21"/>
          <w:szCs w:val="21"/>
        </w:rPr>
        <w:t xml:space="preserve">Where a rule needs a visual example this text-only build cannot supply, a placeholder marks exactly what an artist should eventually produce:</w:t>
      </w:r>
    </w:p>
    <w:p>
      <w:pPr>
        <w:pStyle w:val="ListParagraph"/>
        <w:numPr>
          <w:ilvl w:val="0"/>
          <w:numId w:val="2"/>
        </w:numPr>
        <w:spacing w:after="90"/>
      </w:pPr>
      <w:r>
        <w:rPr>
          <w:color w:val="1F1F1F"/>
          <w:sz w:val="21"/>
          <w:szCs w:val="21"/>
        </w:rPr>
        <w:t xml:space="preserve">[SKETCH NEEDED] — a concept sketch</w:t>
      </w:r>
    </w:p>
    <w:p>
      <w:pPr>
        <w:pStyle w:val="ListParagraph"/>
        <w:numPr>
          <w:ilvl w:val="0"/>
          <w:numId w:val="2"/>
        </w:numPr>
        <w:spacing w:after="90"/>
      </w:pPr>
      <w:r>
        <w:rPr>
          <w:color w:val="1F1F1F"/>
          <w:sz w:val="21"/>
          <w:szCs w:val="21"/>
        </w:rPr>
        <w:t xml:space="preserve">[DIAGRAM NEEDED] — a diagram or flowchart</w:t>
      </w:r>
    </w:p>
    <w:p>
      <w:pPr>
        <w:pStyle w:val="ListParagraph"/>
        <w:numPr>
          <w:ilvl w:val="0"/>
          <w:numId w:val="2"/>
        </w:numPr>
        <w:spacing w:after="90"/>
      </w:pPr>
      <w:r>
        <w:rPr>
          <w:color w:val="1F1F1F"/>
          <w:sz w:val="21"/>
          <w:szCs w:val="21"/>
        </w:rPr>
        <w:t xml:space="preserve">[COMPARISON PLATE NEEDED] — a correct/incorrect side-by-side</w:t>
      </w:r>
    </w:p>
    <w:p>
      <w:pPr>
        <w:pStyle w:val="ListParagraph"/>
        <w:numPr>
          <w:ilvl w:val="0"/>
          <w:numId w:val="2"/>
        </w:numPr>
        <w:spacing w:after="90"/>
      </w:pPr>
      <w:r>
        <w:rPr>
          <w:color w:val="1F1F1F"/>
          <w:sz w:val="21"/>
          <w:szCs w:val="21"/>
        </w:rPr>
        <w:t xml:space="preserve">[COLOR STUDY NEEDED] — a color study</w:t>
      </w:r>
    </w:p>
    <w:p>
      <w:pPr>
        <w:pStyle w:val="ListParagraph"/>
        <w:numPr>
          <w:ilvl w:val="0"/>
          <w:numId w:val="2"/>
        </w:numPr>
        <w:spacing w:after="90"/>
      </w:pPr>
      <w:r>
        <w:rPr>
          <w:color w:val="1F1F1F"/>
          <w:sz w:val="21"/>
          <w:szCs w:val="21"/>
        </w:rPr>
        <w:t xml:space="preserve">[SILHOUETTE SHEET NEEDED] — a silhouette sheet</w:t>
      </w:r>
    </w:p>
    <w:p>
      <w:pPr>
        <w:pStyle w:val="ListParagraph"/>
        <w:numPr>
          <w:ilvl w:val="0"/>
          <w:numId w:val="2"/>
        </w:numPr>
        <w:spacing w:after="90"/>
      </w:pPr>
      <w:r>
        <w:rPr>
          <w:color w:val="1F1F1F"/>
          <w:sz w:val="21"/>
          <w:szCs w:val="21"/>
        </w:rPr>
        <w:t xml:space="preserve">[MOTION STUDY NEEDED] — a motion study</w:t>
      </w:r>
    </w:p>
    <w:p>
      <w:pPr>
        <w:pStyle w:val="ListParagraph"/>
        <w:numPr>
          <w:ilvl w:val="0"/>
          <w:numId w:val="2"/>
        </w:numPr>
        <w:spacing w:after="90"/>
      </w:pPr>
      <w:r>
        <w:rPr>
          <w:color w:val="1F1F1F"/>
          <w:sz w:val="21"/>
          <w:szCs w:val="21"/>
        </w:rPr>
        <w:t xml:space="preserve">[LAYOUT EXAMPLE NEEDED] — a composition/layout example</w:t>
      </w:r>
    </w:p>
    <w:p>
      <w:pPr>
        <w:spacing w:after="160" w:line="300"/>
      </w:pPr>
      <w:r>
        <w:rPr>
          <w:color w:val="1F1F1F"/>
          <w:sz w:val="21"/>
          <w:szCs w:val="21"/>
        </w:rPr>
        <w:t xml:space="preserve">This document is written to be usable today — read by an Art Director, worked from by a concept artist — and to remain the standing Canon reference for years of future production, per the Founder's explicit brief for this document.</w:t>
      </w:r>
    </w:p>
    <w:p>
      <w:pPr>
        <w:pStyle w:val="Heading1"/>
        <w:pBdr>
          <w:bottom w:val="single" w:color="8A6D3B" w:sz="6" w:space="4"/>
        </w:pBdr>
        <w:spacing w:after="240" w:before="480"/>
      </w:pPr>
      <w:r>
        <w:rPr>
          <w:b/>
          <w:bCs/>
          <w:color w:val="1F1F1F"/>
          <w:sz w:val="30"/>
          <w:szCs w:val="30"/>
        </w:rPr>
        <w:t xml:space="preserve">Table of Contents (This Build)</w:t>
      </w:r>
    </w:p>
    <w:p>
      <w:pPr>
        <w:spacing w:after="120"/>
      </w:pPr>
      <w:r>
        <w:rPr>
          <w:color w:val="1F1F1F"/>
          <w:sz w:val="21"/>
          <w:szCs w:val="21"/>
        </w:rPr>
        <w:t xml:space="preserve">How to Read This Document</w:t>
      </w:r>
    </w:p>
    <w:p>
      <w:pPr>
        <w:spacing w:after="120"/>
      </w:pPr>
      <w:r>
        <w:rPr>
          <w:color w:val="1F1F1F"/>
          <w:sz w:val="21"/>
          <w:szCs w:val="21"/>
        </w:rPr>
        <w:t xml:space="preserve">Chapter 1: Foundations</w:t>
      </w:r>
    </w:p>
    <w:p>
      <w:pPr>
        <w:spacing w:after="160" w:line="300"/>
      </w:pPr>
      <w:r>
        <w:rPr>
          <w:i/>
          <w:iCs/>
          <w:color w:val="595959"/>
          <w:sz w:val="21"/>
          <w:szCs w:val="21"/>
        </w:rPr>
        <w:t xml:space="preserve">Chapters 2–20 (per the approved Table of Contents) will be appended in subsequent revisions of this same document, not as separate files, so that MVLB-001 remains one continuous reference.</w:t>
      </w:r>
    </w:p>
    <w:p>
      <w:r>
        <w:br w:type="page"/>
      </w:r>
    </w:p>
    <w:p>
      <w:pPr>
        <w:pStyle w:val="Heading1"/>
        <w:pBdr>
          <w:bottom w:val="single" w:color="8A6D3B" w:sz="6" w:space="4"/>
        </w:pBdr>
        <w:spacing w:after="240" w:before="480"/>
      </w:pPr>
      <w:r>
        <w:rPr>
          <w:b/>
          <w:bCs/>
          <w:color w:val="1F1F1F"/>
          <w:sz w:val="30"/>
          <w:szCs w:val="30"/>
        </w:rPr>
        <w:t xml:space="preserve">Chapter 1: Foundations</w:t>
      </w:r>
    </w:p>
    <w:p>
      <w:pPr>
        <w:spacing w:after="60"/>
      </w:pPr>
      <w:r>
        <w:rPr>
          <w:i/>
          <w:iCs/>
          <w:color w:val="595959"/>
          <w:sz w:val="16"/>
          <w:szCs w:val="16"/>
        </w:rPr>
        <w:t xml:space="preserve">CHAPTER TEMPLATE: Purpose · Principles · Rationale · Production Impact · Good/Bad Examples · Canon Cross-References · Open Decisions</w:t>
      </w:r>
    </w:p>
    <w:p>
      <w:pPr>
        <w:pStyle w:val="Heading2"/>
        <w:spacing w:after="160" w:before="320"/>
      </w:pPr>
      <w:r>
        <w:rPr>
          <w:b/>
          <w:bCs/>
          <w:color w:val="8A6D3B"/>
          <w:sz w:val="24"/>
          <w:szCs w:val="24"/>
        </w:rPr>
        <w:t xml:space="preserve">1. Purpose</w:t>
      </w:r>
    </w:p>
    <w:p>
      <w:pPr>
        <w:spacing w:after="160" w:line="300"/>
      </w:pPr>
      <w:r>
        <w:rPr>
          <w:color w:val="1F1F1F"/>
          <w:sz w:val="21"/>
          <w:szCs w:val="21"/>
        </w:rPr>
        <w:t xml:space="preserve">This chapter solves one problem: making sure everyone who ever opens this Bible — today or in ten years — understands three things before reading any other chapter. First, what this document is for and who it is for. Second, exactly where its authority ends and WB-001's begins, since the two documents sit right next to each other in the Canon and could easily be confused or duplicated without a firm boundary. Third, how this document relates to the visual and research work already built (MLA-004, AB-001, CB-001, RL-006/007/008), so nothing here contradicts or quietly re-derives what already exists.</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2. Principles</w:t>
      </w:r>
    </w:p>
    <w:p>
      <w:pPr>
        <w:pStyle w:val="Heading3"/>
        <w:spacing w:after="100" w:before="220"/>
      </w:pPr>
      <w:r>
        <w:rPr>
          <w:b/>
          <w:bCs/>
          <w:i/>
          <w:iCs/>
          <w:color w:val="1F1F1F"/>
          <w:sz w:val="21"/>
          <w:szCs w:val="21"/>
        </w:rPr>
        <w:t xml:space="preserve">1.1 What This Document Is</w:t>
      </w:r>
    </w:p>
    <w:p>
      <w:pPr>
        <w:spacing w:after="130" w:line="300"/>
      </w:pPr>
      <w:r>
        <w:rPr>
          <w:b/>
          <w:bCs/>
          <w:color w:val="2E5C3E"/>
          <w:sz w:val="20"/>
          <w:szCs w:val="20"/>
        </w:rPr>
        <w:t xml:space="preserve">[CANON]</w:t>
      </w:r>
      <w:r>
        <w:rPr>
          <w:color w:val="1F1F1F"/>
          <w:sz w:val="21"/>
          <w:szCs w:val="21"/>
        </w:rPr>
        <w:t xml:space="preserve">  MVLB-001 is the Visual DNA of Maniarverse: the single reference for how anything in this universe is seen, regardless of which World, character, or object is being drawn. It is a Master Canon Document, not a Tier 2 or product-level Bible — every Character Bible, Environment Bible, and World Bible that exists now or in the future is subordinate to it on visual matters.</w:t>
      </w:r>
    </w:p>
    <w:p>
      <w:pPr>
        <w:spacing w:after="130" w:line="300"/>
      </w:pPr>
      <w:r>
        <w:rPr>
          <w:b/>
          <w:bCs/>
          <w:color w:val="2E5C3E"/>
          <w:sz w:val="20"/>
          <w:szCs w:val="20"/>
        </w:rPr>
        <w:t xml:space="preserve">[CANON]</w:t>
      </w:r>
      <w:r>
        <w:rPr>
          <w:color w:val="1F1F1F"/>
          <w:sz w:val="21"/>
          <w:szCs w:val="21"/>
        </w:rPr>
        <w:t xml:space="preserve">  MVLB-001 answers 'how is it seen?' It does not answer 'how does it work?' — that is WB-001's domain (Section 1.2).</w:t>
      </w:r>
    </w:p>
    <w:p>
      <w:pPr>
        <w:pStyle w:val="Heading3"/>
        <w:spacing w:after="100" w:before="220"/>
      </w:pPr>
      <w:r>
        <w:rPr>
          <w:b/>
          <w:bCs/>
          <w:i/>
          <w:iCs/>
          <w:color w:val="1F1F1F"/>
          <w:sz w:val="21"/>
          <w:szCs w:val="21"/>
        </w:rPr>
        <w:t xml:space="preserve">1.2 Position in Canon and the Exact Boundary with WB-001</w:t>
      </w:r>
    </w:p>
    <w:p>
      <w:pPr>
        <w:spacing w:after="130" w:line="300"/>
      </w:pPr>
      <w:r>
        <w:rPr>
          <w:b/>
          <w:bCs/>
          <w:color w:val="2E5C3E"/>
          <w:sz w:val="20"/>
          <w:szCs w:val="20"/>
        </w:rPr>
        <w:t xml:space="preserve">[CANON]</w:t>
      </w:r>
      <w:r>
        <w:rPr>
          <w:color w:val="1F1F1F"/>
          <w:sz w:val="21"/>
          <w:szCs w:val="21"/>
        </w:rPr>
        <w:t xml:space="preserve">  WB-001 governs the physical and systemic reality of a World: its architecture logic, nature systems, sky, time, physics, and cross-world shared law (WB-001 §1, per its own Founder Decision). MVLB-001 governs how every one of those things is rendered: its form language, color system, light philosophy, material treatment, and every other purely visual decision.</w:t>
      </w:r>
    </w:p>
    <w:p>
      <w:pPr>
        <w:spacing w:after="130" w:line="300"/>
      </w:pPr>
      <w:r>
        <w:rPr>
          <w:b/>
          <w:bCs/>
          <w:color w:val="2E5C3E"/>
          <w:sz w:val="20"/>
          <w:szCs w:val="20"/>
        </w:rPr>
        <w:t xml:space="preserve">[CANON]</w:t>
      </w:r>
      <w:r>
        <w:rPr>
          <w:color w:val="1F1F1F"/>
          <w:sz w:val="21"/>
          <w:szCs w:val="21"/>
        </w:rPr>
        <w:t xml:space="preserve">  Where the two documents could appear to overlap — for example, WB-001 §4's Sky, or §5's Plants — WB-001 defines what exists and how it behaves (does the sky change with time of day; do plants react to a character's presence), and MVLB-001 defines what it looks like when it does (Section 7's Light Language; Section 10's Nature Language). Neither document should restate the other's content — each should cite the other.</w:t>
      </w:r>
    </w:p>
    <w:p>
      <w:pPr>
        <w:pBdr>
          <w:left w:val="single" w:color="5B3A70" w:sz="16" w:space="8"/>
        </w:pBdr>
        <w:shd w:fill="EFEAF7" w:color="auto" w:val="clear"/>
        <w:spacing w:after="200" w:before="100" w:line="280"/>
      </w:pPr>
      <w:r>
        <w:rPr>
          <w:b/>
          <w:bCs/>
          <w:color w:val="5B3A70"/>
          <w:sz w:val="20"/>
          <w:szCs w:val="20"/>
        </w:rPr>
        <w:t xml:space="preserve">[DIAGRAM NEEDED] </w:t>
      </w:r>
      <w:r>
        <w:rPr>
          <w:i/>
          <w:iCs/>
          <w:color w:val="1F1F1F"/>
          <w:sz w:val="20"/>
          <w:szCs w:val="20"/>
        </w:rPr>
        <w:t xml:space="preserve">A two-circle boundary diagram: left circle labeled 'WB-001 — How the World Works' (architecture logic, physics, time systems, nature systems), right circle labeled 'MVLB-001 — How the World Is Seen' (form, color, light, material, composition), with a clearly marked overlap zone showing the citation relationship (WB-001 defines existence/behavior; MVLB-001 defines appearance) rather than any actual content overlap.</w:t>
      </w:r>
    </w:p>
    <w:p>
      <w:pPr>
        <w:pStyle w:val="Heading3"/>
        <w:spacing w:after="100" w:before="220"/>
      </w:pPr>
      <w:r>
        <w:rPr>
          <w:b/>
          <w:bCs/>
          <w:i/>
          <w:iCs/>
          <w:color w:val="1F1F1F"/>
          <w:sz w:val="21"/>
          <w:szCs w:val="21"/>
        </w:rPr>
        <w:t xml:space="preserve">1.3 How a New Artist Should Use This Document</w:t>
      </w:r>
    </w:p>
    <w:p>
      <w:pPr>
        <w:spacing w:after="130" w:line="300"/>
      </w:pPr>
      <w:r>
        <w:rPr>
          <w:b/>
          <w:bCs/>
          <w:color w:val="8A6D2E"/>
          <w:sz w:val="20"/>
          <w:szCs w:val="20"/>
        </w:rPr>
        <w:t xml:space="preserve">[GUIDELINE]</w:t>
      </w:r>
      <w:r>
        <w:rPr>
          <w:color w:val="1F1F1F"/>
          <w:sz w:val="21"/>
          <w:szCs w:val="21"/>
        </w:rPr>
        <w:t xml:space="preserve">  A concept artist or graphic designer joining the project should read, in order: this chapter (Foundations), then Chapter 2 (Visual Philosophy) and Chapter 3 (Language Principles) in full, then only the specific later chapters relevant to their immediate task (e.g., Chapter 9 Color Language before a color pass, Chapter 13 Motion Language before an animation handoff). They are not expected to read all 20 chapters before beginning work.</w:t>
      </w:r>
    </w:p>
    <w:p>
      <w:pPr>
        <w:spacing w:after="130" w:line="300"/>
      </w:pPr>
      <w:r>
        <w:rPr>
          <w:b/>
          <w:bCs/>
          <w:color w:val="2E4E6D"/>
          <w:sz w:val="20"/>
          <w:szCs w:val="20"/>
        </w:rPr>
        <w:t xml:space="preserve">[BEST PRACTICE]</w:t>
      </w:r>
      <w:r>
        <w:rPr>
          <w:color w:val="1F1F1F"/>
          <w:sz w:val="21"/>
          <w:szCs w:val="21"/>
        </w:rPr>
        <w:t xml:space="preserve">  Before starting any new asset, an artist should check Chapter 20's Appendix (Glossary and Quick Checklist) as a fast-reference sanity check, even if they have already read the relevant full chapter, since production schedules make it easy to forget a specific rule between reading it and applying it weeks later.</w:t>
      </w:r>
    </w:p>
    <w:p>
      <w:pPr>
        <w:pStyle w:val="Heading3"/>
        <w:spacing w:after="100" w:before="220"/>
      </w:pPr>
      <w:r>
        <w:rPr>
          <w:b/>
          <w:bCs/>
          <w:i/>
          <w:iCs/>
          <w:color w:val="1F1F1F"/>
          <w:sz w:val="21"/>
          <w:szCs w:val="21"/>
        </w:rPr>
        <w:t xml:space="preserve">1.4 Relationship to Existing Documents</w:t>
      </w:r>
    </w:p>
    <w:p>
      <w:pPr>
        <w:spacing w:after="130" w:line="300"/>
      </w:pPr>
      <w:r>
        <w:rPr>
          <w:b/>
          <w:bCs/>
          <w:color w:val="2E5C3E"/>
          <w:sz w:val="20"/>
          <w:szCs w:val="20"/>
        </w:rPr>
        <w:t xml:space="preserve">[CANON]</w:t>
      </w:r>
      <w:r>
        <w:rPr>
          <w:color w:val="1F1F1F"/>
          <w:sz w:val="21"/>
          <w:szCs w:val="21"/>
        </w:rPr>
        <w:t xml:space="preserve">  MLA-004 (Emotional Symbol System) remains the independent research and Canon source for color meaning; MVLB-001's Chapter 9 (Color Language) cites MLA-004 rather than restating or re-deriving its findings (per the Founder's explicit instruction that MLA-004 not be merged into this document).</w:t>
      </w:r>
    </w:p>
    <w:p>
      <w:pPr>
        <w:spacing w:after="130" w:line="300"/>
      </w:pPr>
      <w:r>
        <w:rPr>
          <w:b/>
          <w:bCs/>
          <w:color w:val="2E5C3E"/>
          <w:sz w:val="20"/>
          <w:szCs w:val="20"/>
        </w:rPr>
        <w:t xml:space="preserve">[CANON]</w:t>
      </w:r>
      <w:r>
        <w:rPr>
          <w:color w:val="1F1F1F"/>
          <w:sz w:val="21"/>
          <w:szCs w:val="21"/>
        </w:rPr>
        <w:t xml:space="preserve">  AB-001 (Animation Bible) remains the independent Canon source for shot timing, gesture-linked animation timing, and the 6-second shot convention; MVLB-001's Chapter 13 (Motion Language) cites AB-001 rather than restating its specific timing values.</w:t>
      </w:r>
    </w:p>
    <w:p>
      <w:pPr>
        <w:spacing w:after="130" w:line="300"/>
      </w:pPr>
      <w:r>
        <w:rPr>
          <w:b/>
          <w:bCs/>
          <w:color w:val="2E5C3E"/>
          <w:sz w:val="20"/>
          <w:szCs w:val="20"/>
        </w:rPr>
        <w:t xml:space="preserve">[CANON]</w:t>
      </w:r>
      <w:r>
        <w:rPr>
          <w:color w:val="1F1F1F"/>
          <w:sz w:val="21"/>
          <w:szCs w:val="21"/>
        </w:rPr>
        <w:t xml:space="preserve">  CB-001 (Character Bible) remains the independent Canon source for who Maniar is (identity, the two-mode distinction, locked and open physical-specification fields); MVLB-001 governs how Maniar and any future character is rendered visually, not who they are.</w:t>
      </w:r>
    </w:p>
    <w:p>
      <w:pPr>
        <w:spacing w:after="130" w:line="300"/>
      </w:pPr>
      <w:r>
        <w:rPr>
          <w:b/>
          <w:bCs/>
          <w:color w:val="2E5C3E"/>
          <w:sz w:val="20"/>
          <w:szCs w:val="20"/>
        </w:rPr>
        <w:t xml:space="preserve">[CANON]</w:t>
      </w:r>
      <w:r>
        <w:rPr>
          <w:color w:val="1F1F1F"/>
          <w:sz w:val="21"/>
          <w:szCs w:val="21"/>
        </w:rPr>
        <w:t xml:space="preserve">  RL-006 (Child Visual Perception), RL-007 (Animation &amp; Biological Motion), and RL-008 (Nature &amp; Biophilic Design) remain the independent research libraries this Bible draws design rules from; where a rule in this document rests on one of these libraries, that library is cited directly (per the citation practice already established across MLA-012 and the RD/RL series) rather than the underlying research being reproduced here.</w:t>
      </w:r>
    </w:p>
    <w:p>
      <w:r>
        <w:br w:type="page"/>
      </w:r>
    </w:p>
    <w:p>
      <w:pPr>
        <w:pStyle w:val="Heading2"/>
        <w:spacing w:after="160" w:before="320"/>
      </w:pPr>
      <w:r>
        <w:rPr>
          <w:b/>
          <w:bCs/>
          <w:color w:val="8A6D3B"/>
          <w:sz w:val="24"/>
          <w:szCs w:val="24"/>
        </w:rPr>
        <w:t xml:space="preserve">3. Rationale</w:t>
      </w:r>
    </w:p>
    <w:p>
      <w:pPr>
        <w:spacing w:after="160" w:line="300"/>
      </w:pPr>
      <w:r>
        <w:rPr>
          <w:color w:val="1F1F1F"/>
          <w:sz w:val="21"/>
          <w:szCs w:val="21"/>
        </w:rPr>
        <w:t xml:space="preserve">Why does a boundary this precise matter? Because Maniarverse has already lived through the alternative once. WB-001 was originally drafted, then had to be revisited when IW-001 introduced the Climate Model, because the line between 'physical world law' and 'emotional/experiential design' had not been drawn tightly enough at the time WB-001 was first written. This chapter exists so that mistake is not repeated between WB-001 and MVLB-001: the boundary is written down before either document's content grows large enough for the seam to become expensive to fix.</w:t>
      </w:r>
    </w:p>
    <w:p>
      <w:pPr>
        <w:spacing w:after="160" w:line="300"/>
      </w:pPr>
      <w:r>
        <w:rPr>
          <w:color w:val="1F1F1F"/>
          <w:sz w:val="21"/>
          <w:szCs w:val="21"/>
        </w:rPr>
        <w:t xml:space="preserve">The deeper reason MVLB-001 needs to exist as a Master Canon Document, not a Tier 2 style guide, is continuity across people. A Founder-led project can hold visual consistency in one person's head for a while. A project with multiple concept artists, an animation team, and years of production cannot — consistency has to live in a document, not in any single person's memory, or the world will visibly fracture the moment a second artist joins (exactly the 'forest drawn by one artist, city drawn by another, no relation' scenario already identified before this document was commissioned).</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4. Production Impact</w:t>
      </w:r>
    </w:p>
    <w:p>
      <w:pPr>
        <w:spacing w:after="160" w:line="300"/>
      </w:pPr>
      <w:r>
        <w:rPr>
          <w:color w:val="1F1F1F"/>
          <w:sz w:val="21"/>
          <w:szCs w:val="21"/>
        </w:rPr>
        <w:t xml:space="preserve">Concretely, this chapter changes how a task gets assigned and reviewed, not just how it reads:</w:t>
      </w:r>
    </w:p>
    <w:p>
      <w:pPr>
        <w:pStyle w:val="ListParagraph"/>
        <w:numPr>
          <w:ilvl w:val="0"/>
          <w:numId w:val="2"/>
        </w:numPr>
        <w:spacing w:after="90"/>
      </w:pPr>
      <w:r>
        <w:rPr>
          <w:color w:val="1F1F1F"/>
          <w:sz w:val="21"/>
          <w:szCs w:val="21"/>
        </w:rPr>
        <w:t xml:space="preserve">When a task brief mentions a World's physical rules (does the river flow here, does the sky change color), the artist and reviewer should point to WB-001.</w:t>
      </w:r>
    </w:p>
    <w:p>
      <w:pPr>
        <w:pStyle w:val="ListParagraph"/>
        <w:numPr>
          <w:ilvl w:val="0"/>
          <w:numId w:val="2"/>
        </w:numPr>
        <w:spacing w:after="90"/>
      </w:pPr>
      <w:r>
        <w:rPr>
          <w:color w:val="1F1F1F"/>
          <w:sz w:val="21"/>
          <w:szCs w:val="21"/>
        </w:rPr>
        <w:t xml:space="preserve">When a task brief mentions how something should look (what silhouette, what palette logic, what light quality), the artist and reviewer should point to MVLB-001.</w:t>
      </w:r>
    </w:p>
    <w:p>
      <w:pPr>
        <w:pStyle w:val="ListParagraph"/>
        <w:numPr>
          <w:ilvl w:val="0"/>
          <w:numId w:val="2"/>
        </w:numPr>
        <w:spacing w:after="90"/>
      </w:pPr>
      <w:r>
        <w:rPr>
          <w:color w:val="1F1F1F"/>
          <w:sz w:val="21"/>
          <w:szCs w:val="21"/>
        </w:rPr>
        <w:t xml:space="preserve">A task that touches both (e.g., 'design how sunset looks in Joy World') should be reviewed against both documents together: WB-001 for whether/how the World's time system produces a sunset at all, MVLB-001 for what that sunset is rendered to look like.</w:t>
      </w:r>
    </w:p>
    <w:p>
      <w:pPr>
        <w:spacing w:after="130" w:line="300"/>
      </w:pPr>
      <w:r>
        <w:rPr>
          <w:b/>
          <w:bCs/>
          <w:color w:val="2E4E6D"/>
          <w:sz w:val="20"/>
          <w:szCs w:val="20"/>
        </w:rPr>
        <w:t xml:space="preserve">[BEST PRACTICE]</w:t>
      </w:r>
      <w:r>
        <w:rPr>
          <w:color w:val="1F1F1F"/>
          <w:sz w:val="21"/>
          <w:szCs w:val="21"/>
        </w:rPr>
        <w:t xml:space="preserve">  Art Directors reviewing a submitted asset should be able to say, for any note they give, whether it comes from a WB-001 concern (the world doesn't work that way) or an MVLB-001 concern (the world doesn't look that way) — this distinction should be stated explicitly in review feedback, not left implicit, so the artist knows which document to re-check.</w:t>
      </w:r>
    </w:p>
    <w:p>
      <w:pPr>
        <w:pBdr>
          <w:bottom w:val="single" w:color="CCCCCC" w:sz="4" w:space="1"/>
        </w:pBdr>
        <w:spacing w:after="240" w:before="120"/>
      </w:pPr>
      <w:r>
        <w:t xml:space="preserve"/>
      </w:r>
    </w:p>
    <w:p>
      <w:pPr>
        <w:pStyle w:val="Heading2"/>
        <w:spacing w:after="160" w:before="320"/>
      </w:pPr>
      <w:r>
        <w:rPr>
          <w:b/>
          <w:bCs/>
          <w:color w:val="8A6D3B"/>
          <w:sz w:val="24"/>
          <w:szCs w:val="24"/>
        </w:rPr>
        <w:t xml:space="preserve">5. Good / Bad Examples</w:t>
      </w:r>
    </w:p>
    <w:p>
      <w:pPr>
        <w:pStyle w:val="Heading3"/>
        <w:spacing w:after="100" w:before="220"/>
      </w:pPr>
      <w:r>
        <w:rPr>
          <w:b/>
          <w:bCs/>
          <w:i/>
          <w:iCs/>
          <w:color w:val="1F1F1F"/>
          <w:sz w:val="21"/>
          <w:szCs w:val="21"/>
        </w:rPr>
        <w:t xml:space="preserve">Textual Example — Correct Division</w:t>
      </w:r>
    </w:p>
    <w:p>
      <w:pPr>
        <w:spacing w:after="160" w:line="300"/>
      </w:pPr>
      <w:r>
        <w:rPr>
          <w:i/>
          <w:iCs/>
          <w:color w:val="1F1F1F"/>
          <w:sz w:val="21"/>
          <w:szCs w:val="21"/>
        </w:rPr>
        <w:t xml:space="preserve">Correct: “WB-001 §4 establishes that Joy World's sky brightens toward midday and dims gradually toward evening (a physical/systemic rule). MVLB-001 Chapter 7 establishes that this brightening should read as warm and golden rather than cool and blue, consistent with this Bible's Light Language philosophy (a visual rule). The two statements do not compete — one says a change happens, the other says what the change looks like.”</w:t>
      </w:r>
    </w:p>
    <w:p>
      <w:pPr>
        <w:pStyle w:val="Heading3"/>
        <w:spacing w:after="100" w:before="220"/>
      </w:pPr>
      <w:r>
        <w:rPr>
          <w:b/>
          <w:bCs/>
          <w:i/>
          <w:iCs/>
          <w:color w:val="1F1F1F"/>
          <w:sz w:val="21"/>
          <w:szCs w:val="21"/>
        </w:rPr>
        <w:t xml:space="preserve">Textual Example — Incorrect Division</w:t>
      </w:r>
    </w:p>
    <w:p>
      <w:pPr>
        <w:spacing w:after="160" w:line="300"/>
      </w:pPr>
      <w:r>
        <w:rPr>
          <w:i/>
          <w:iCs/>
          <w:color w:val="1F1F1F"/>
          <w:sz w:val="21"/>
          <w:szCs w:val="21"/>
        </w:rPr>
        <w:t xml:space="preserve">Incorrect: A future WB-001 revision that specifies 'the sky is a warm gold-orange gradient at midday' is stepping into MVLB-001's territory (appearance) inside a document whose job is systemic behavior. Equally incorrect: an MVLB-001 chapter that specifies 'the sky changes brightness across the day' without citing WB-001 is restating WB-001's own systemic rule instead of citing it.</w:t>
      </w:r>
    </w:p>
    <w:p>
      <w:pPr>
        <w:pBdr>
          <w:left w:val="single" w:color="5B3A70" w:sz="16" w:space="8"/>
        </w:pBdr>
        <w:shd w:fill="EFEAF7" w:color="auto" w:val="clear"/>
        <w:spacing w:after="200" w:before="100" w:line="280"/>
      </w:pPr>
      <w:r>
        <w:rPr>
          <w:b/>
          <w:bCs/>
          <w:color w:val="5B3A70"/>
          <w:sz w:val="20"/>
          <w:szCs w:val="20"/>
        </w:rPr>
        <w:t xml:space="preserve">[COMPARISON PLATE NEEDED] </w:t>
      </w:r>
      <w:r>
        <w:rPr>
          <w:i/>
          <w:iCs/>
          <w:color w:val="1F1F1F"/>
          <w:sz w:val="20"/>
          <w:szCs w:val="20"/>
        </w:rPr>
        <w:t xml:space="preserve">Two side-by-side annotated documentation excerpts (mocked as document snippets, not artwork) — left labeled 'Correct: WB-001 defines the sky-brightening system; MVLB-001 defines its golden color quality,' right labeled 'Incorrect: a single document trying to own both the system and its appearance' — for use in onboarding new writers of future Canon documents, not only artists.</w:t>
      </w:r>
    </w:p>
    <w:p>
      <w:r>
        <w:br w:type="page"/>
      </w:r>
    </w:p>
    <w:p>
      <w:pPr>
        <w:pStyle w:val="Heading2"/>
        <w:spacing w:after="160" w:before="320"/>
      </w:pPr>
      <w:r>
        <w:rPr>
          <w:b/>
          <w:bCs/>
          <w:color w:val="8A6D3B"/>
          <w:sz w:val="24"/>
          <w:szCs w:val="24"/>
        </w:rPr>
        <w:t xml:space="preserve">6. Canon Cross-References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1F1F" w:color="auto" w:val="clear"/>
            <w:tcMar>
              <w:top w:type="dxa" w:w="90"/>
              <w:left w:type="dxa" w:w="110"/>
              <w:bottom w:type="dxa" w:w="90"/>
              <w:right w:type="dxa" w:w="110"/>
            </w:tcMar>
          </w:tcPr>
          <w:p>
            <w:r>
              <w:rPr>
                <w:b/>
                <w:bCs/>
                <w:color w:val="FFFFFF"/>
                <w:sz w:val="19"/>
                <w:szCs w:val="19"/>
              </w:rPr>
              <w:t xml:space="preserve">Document</w:t>
            </w:r>
          </w:p>
        </w:tc>
        <w:tc>
          <w:tcPr>
            <w:tcW w:type="dxa" w:w="7000"/>
            <w:shd w:fill="1F1F1F" w:color="auto" w:val="clear"/>
            <w:tcMar>
              <w:top w:type="dxa" w:w="90"/>
              <w:left w:type="dxa" w:w="110"/>
              <w:bottom w:type="dxa" w:w="90"/>
              <w:right w:type="dxa" w:w="110"/>
            </w:tcMar>
          </w:tcPr>
          <w:p>
            <w:r>
              <w:rPr>
                <w:b/>
                <w:bCs/>
                <w:color w:val="FFFFFF"/>
                <w:sz w:val="19"/>
                <w:szCs w:val="19"/>
              </w:rPr>
              <w:t xml:space="preserve">Relationship to This Chapter</w:t>
            </w:r>
          </w:p>
        </w:tc>
      </w:tr>
      <w:tr>
        <w:tc>
          <w:tcPr>
            <w:tcW w:type="dxa" w:w="2400"/>
            <w:tcMar>
              <w:top w:type="dxa" w:w="90"/>
              <w:left w:type="dxa" w:w="110"/>
              <w:bottom w:type="dxa" w:w="90"/>
              <w:right w:type="dxa" w:w="110"/>
            </w:tcMar>
          </w:tcPr>
          <w:p>
            <w:r>
              <w:rPr>
                <w:b w:val="false"/>
                <w:bCs w:val="false"/>
                <w:color w:val="1F1F1F"/>
                <w:sz w:val="19"/>
                <w:szCs w:val="19"/>
              </w:rPr>
              <w:t xml:space="preserve">WB-001 (World Bible)</w:t>
            </w:r>
          </w:p>
        </w:tc>
        <w:tc>
          <w:tcPr>
            <w:tcW w:type="dxa" w:w="7000"/>
            <w:tcMar>
              <w:top w:type="dxa" w:w="90"/>
              <w:left w:type="dxa" w:w="110"/>
              <w:bottom w:type="dxa" w:w="90"/>
              <w:right w:type="dxa" w:w="110"/>
            </w:tcMar>
          </w:tcPr>
          <w:p>
            <w:r>
              <w:rPr>
                <w:b w:val="false"/>
                <w:bCs w:val="false"/>
                <w:color w:val="1F1F1F"/>
                <w:sz w:val="19"/>
                <w:szCs w:val="19"/>
              </w:rPr>
              <w:t xml:space="preserve">Direct boundary partner (§1.2); governs systemic/physical reality, cited but never restated here.</w:t>
            </w:r>
          </w:p>
        </w:tc>
      </w:tr>
      <w:tr>
        <w:tc>
          <w:tcPr>
            <w:tcW w:type="dxa" w:w="2400"/>
            <w:tcMar>
              <w:top w:type="dxa" w:w="90"/>
              <w:left w:type="dxa" w:w="110"/>
              <w:bottom w:type="dxa" w:w="90"/>
              <w:right w:type="dxa" w:w="110"/>
            </w:tcMar>
          </w:tcPr>
          <w:p>
            <w:r>
              <w:rPr>
                <w:b w:val="false"/>
                <w:bCs w:val="false"/>
                <w:color w:val="1F1F1F"/>
                <w:sz w:val="19"/>
                <w:szCs w:val="19"/>
              </w:rPr>
              <w:t xml:space="preserve">MCP-001 (The Canon)</w:t>
            </w:r>
          </w:p>
        </w:tc>
        <w:tc>
          <w:tcPr>
            <w:tcW w:type="dxa" w:w="7000"/>
            <w:tcMar>
              <w:top w:type="dxa" w:w="90"/>
              <w:left w:type="dxa" w:w="110"/>
              <w:bottom w:type="dxa" w:w="90"/>
              <w:right w:type="dxa" w:w="110"/>
            </w:tcMar>
          </w:tcPr>
          <w:p>
            <w:r>
              <w:rPr>
                <w:b w:val="false"/>
                <w:bCs w:val="false"/>
                <w:color w:val="1F1F1F"/>
                <w:sz w:val="19"/>
                <w:szCs w:val="19"/>
              </w:rPr>
              <w:t xml:space="preserve">MVLB-001's status as a Master Canon Document, and its amendment process for [CANON]-tagged rules, follows MCP-001 §8's existing amendment process directly.</w:t>
            </w:r>
          </w:p>
        </w:tc>
      </w:tr>
      <w:tr>
        <w:tc>
          <w:tcPr>
            <w:tcW w:type="dxa" w:w="2400"/>
            <w:tcMar>
              <w:top w:type="dxa" w:w="90"/>
              <w:left w:type="dxa" w:w="110"/>
              <w:bottom w:type="dxa" w:w="90"/>
              <w:right w:type="dxa" w:w="110"/>
            </w:tcMar>
          </w:tcPr>
          <w:p>
            <w:r>
              <w:rPr>
                <w:b w:val="false"/>
                <w:bCs w:val="false"/>
                <w:color w:val="1F1F1F"/>
                <w:sz w:val="19"/>
                <w:szCs w:val="19"/>
              </w:rPr>
              <w:t xml:space="preserve">MV-001 (Constitution)</w:t>
            </w:r>
          </w:p>
        </w:tc>
        <w:tc>
          <w:tcPr>
            <w:tcW w:type="dxa" w:w="7000"/>
            <w:tcMar>
              <w:top w:type="dxa" w:w="90"/>
              <w:left w:type="dxa" w:w="110"/>
              <w:bottom w:type="dxa" w:w="90"/>
              <w:right w:type="dxa" w:w="110"/>
            </w:tcMar>
          </w:tcPr>
          <w:p>
            <w:r>
              <w:rPr>
                <w:b w:val="false"/>
                <w:bCs w:val="false"/>
                <w:color w:val="1F1F1F"/>
                <w:sz w:val="19"/>
                <w:szCs w:val="19"/>
              </w:rPr>
              <w:t xml:space="preserve">MVLB-001's visual rules operate within, and must never contradict, MV-001's child-rights and ethics articles (e.g., no manipulative or frightening visual design, per MV-001 §4).</w:t>
            </w:r>
          </w:p>
        </w:tc>
      </w:tr>
      <w:tr>
        <w:tc>
          <w:tcPr>
            <w:tcW w:type="dxa" w:w="2400"/>
            <w:tcMar>
              <w:top w:type="dxa" w:w="90"/>
              <w:left w:type="dxa" w:w="110"/>
              <w:bottom w:type="dxa" w:w="90"/>
              <w:right w:type="dxa" w:w="110"/>
            </w:tcMar>
          </w:tcPr>
          <w:p>
            <w:r>
              <w:rPr>
                <w:b w:val="false"/>
                <w:bCs w:val="false"/>
                <w:color w:val="1F1F1F"/>
                <w:sz w:val="19"/>
                <w:szCs w:val="19"/>
              </w:rPr>
              <w:t xml:space="preserve">MLA-004, AB-001, CB-001</w:t>
            </w:r>
          </w:p>
        </w:tc>
        <w:tc>
          <w:tcPr>
            <w:tcW w:type="dxa" w:w="7000"/>
            <w:tcMar>
              <w:top w:type="dxa" w:w="90"/>
              <w:left w:type="dxa" w:w="110"/>
              <w:bottom w:type="dxa" w:w="90"/>
              <w:right w:type="dxa" w:w="110"/>
            </w:tcMar>
          </w:tcPr>
          <w:p>
            <w:r>
              <w:rPr>
                <w:b w:val="false"/>
                <w:bCs w:val="false"/>
                <w:color w:val="1F1F1F"/>
                <w:sz w:val="19"/>
                <w:szCs w:val="19"/>
              </w:rPr>
              <w:t xml:space="preserve">Independent Canon sources this Bible cites rather than absorbs (§1.4).</w:t>
            </w:r>
          </w:p>
        </w:tc>
      </w:tr>
      <w:tr>
        <w:tc>
          <w:tcPr>
            <w:tcW w:type="dxa" w:w="2400"/>
            <w:tcMar>
              <w:top w:type="dxa" w:w="90"/>
              <w:left w:type="dxa" w:w="110"/>
              <w:bottom w:type="dxa" w:w="90"/>
              <w:right w:type="dxa" w:w="110"/>
            </w:tcMar>
          </w:tcPr>
          <w:p>
            <w:r>
              <w:rPr>
                <w:b w:val="false"/>
                <w:bCs w:val="false"/>
                <w:color w:val="1F1F1F"/>
                <w:sz w:val="19"/>
                <w:szCs w:val="19"/>
              </w:rPr>
              <w:t xml:space="preserve">RL-006, RL-007, RL-008</w:t>
            </w:r>
          </w:p>
        </w:tc>
        <w:tc>
          <w:tcPr>
            <w:tcW w:type="dxa" w:w="7000"/>
            <w:tcMar>
              <w:top w:type="dxa" w:w="90"/>
              <w:left w:type="dxa" w:w="110"/>
              <w:bottom w:type="dxa" w:w="90"/>
              <w:right w:type="dxa" w:w="110"/>
            </w:tcMar>
          </w:tcPr>
          <w:p>
            <w:r>
              <w:rPr>
                <w:b w:val="false"/>
                <w:bCs w:val="false"/>
                <w:color w:val="1F1F1F"/>
                <w:sz w:val="19"/>
                <w:szCs w:val="19"/>
              </w:rPr>
              <w:t xml:space="preserve">Independent research libraries this Bible's later chapters draw design rules from, cited at point of use.</w:t>
            </w:r>
          </w:p>
        </w:tc>
      </w:tr>
    </w:tbl>
    <w:p>
      <w:pPr>
        <w:pBdr>
          <w:bottom w:val="single" w:color="CCCCCC" w:sz="4" w:space="1"/>
        </w:pBdr>
        <w:spacing w:after="240" w:before="120"/>
      </w:pPr>
      <w:r>
        <w:t xml:space="preserve"/>
      </w:r>
    </w:p>
    <w:p>
      <w:pPr>
        <w:pStyle w:val="Heading2"/>
        <w:spacing w:after="160" w:before="320"/>
      </w:pPr>
      <w:r>
        <w:rPr>
          <w:b/>
          <w:bCs/>
          <w:color w:val="8A6D3B"/>
          <w:sz w:val="24"/>
          <w:szCs w:val="24"/>
        </w:rPr>
        <w:t xml:space="preserve">7. Open Decisions</w:t>
      </w:r>
    </w:p>
    <w:p>
      <w:pPr>
        <w:shd w:fill="FBF3E5" w:color="auto" w:val="clear"/>
        <w:spacing w:after="130" w:line="300"/>
      </w:pPr>
      <w:r>
        <w:rPr>
          <w:b/>
          <w:bCs/>
          <w:color w:val="8A2E2E"/>
          <w:sz w:val="20"/>
          <w:szCs w:val="20"/>
        </w:rPr>
        <w:t xml:space="preserve">[OPEN]</w:t>
      </w:r>
      <w:r>
        <w:rPr>
          <w:i/>
          <w:iCs/>
          <w:color w:val="1F1F1F"/>
          <w:sz w:val="21"/>
          <w:szCs w:val="21"/>
        </w:rPr>
        <w:t xml:space="preserve">  This document's exact Canon registry entry (MCP-001 §6's Canonical Document Registry currently lists documents through Watch Bible and the RD/RL series; MVLB-001 has not yet been formally added to that registry table) should be updated once this Bible reaches a version the Founder considers ready to enter the registry — likely not before several chapters exist, per the Founder's own preference for building before over-documenting.</w:t>
      </w:r>
    </w:p>
    <w:p>
      <w:pPr>
        <w:shd w:fill="FBF3E5" w:color="auto" w:val="clear"/>
        <w:spacing w:after="130" w:line="300"/>
      </w:pPr>
      <w:r>
        <w:rPr>
          <w:b/>
          <w:bCs/>
          <w:color w:val="8A2E2E"/>
          <w:sz w:val="20"/>
          <w:szCs w:val="20"/>
        </w:rPr>
        <w:t xml:space="preserve">[OPEN]</w:t>
      </w:r>
      <w:r>
        <w:rPr>
          <w:i/>
          <w:iCs/>
          <w:color w:val="1F1F1F"/>
          <w:sz w:val="21"/>
          <w:szCs w:val="21"/>
        </w:rPr>
        <w:t xml:space="preserve">  Whether MVLB-001 sits above, beside, or in some cases below WB-001 in a strict tier-priority sense (for the rare case where a conflict cannot be resolved by the 'behavior vs. appearance' boundary alone) has not been explicitly decided. This chapter assumes the two are peers with non-overlapping jurisdiction, not a hierarchy, but the Founder should confirm this is the intended relationship.</w:t>
      </w:r>
    </w:p>
    <w:p>
      <w:pPr>
        <w:shd w:fill="FBF3E5" w:color="auto" w:val="clear"/>
        <w:spacing w:after="130" w:line="300"/>
      </w:pPr>
      <w:r>
        <w:rPr>
          <w:b/>
          <w:bCs/>
          <w:color w:val="8A2E2E"/>
          <w:sz w:val="20"/>
          <w:szCs w:val="20"/>
        </w:rPr>
        <w:t xml:space="preserve">[OPEN]</w:t>
      </w:r>
      <w:r>
        <w:rPr>
          <w:i/>
          <w:iCs/>
          <w:color w:val="1F1F1F"/>
          <w:sz w:val="21"/>
          <w:szCs w:val="21"/>
        </w:rPr>
        <w:t xml:space="preserve">  The exact process for updating MVLB-001 itself as new Worlds or characters reveal a need to refine a [CANON]-tagged rule (e.g., a rule that works for Joy World but proves wrong for a later World) is deferred to Chapter 19 (Governance), not yet written.</w:t>
      </w:r>
    </w:p>
    <w:p>
      <w:r>
        <w:br w:type="page"/>
      </w:r>
    </w:p>
    <w:p>
      <w:pPr>
        <w:pStyle w:val="Heading1"/>
        <w:pBdr>
          <w:bottom w:val="single" w:color="8A6D3B" w:sz="6" w:space="4"/>
        </w:pBdr>
        <w:spacing w:after="240" w:before="480"/>
      </w:pPr>
      <w:r>
        <w:rPr>
          <w:b/>
          <w:bCs/>
          <w:color w:val="1F1F1F"/>
          <w:sz w:val="30"/>
          <w:szCs w:val="30"/>
        </w:rPr>
        <w:t xml:space="preserve">Document Control (This Build)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1F1F" w:color="auto" w:val="clear"/>
            <w:tcMar>
              <w:top w:type="dxa" w:w="90"/>
              <w:left w:type="dxa" w:w="110"/>
              <w:bottom w:type="dxa" w:w="90"/>
              <w:right w:type="dxa" w:w="110"/>
            </w:tcMar>
          </w:tcPr>
          <w:p>
            <w:r>
              <w:rPr>
                <w:b/>
                <w:bCs/>
                <w:color w:val="FFFFFF"/>
                <w:sz w:val="19"/>
                <w:szCs w:val="19"/>
              </w:rPr>
              <w:t xml:space="preserve">Field</w:t>
            </w:r>
          </w:p>
        </w:tc>
        <w:tc>
          <w:tcPr>
            <w:tcW w:type="dxa" w:w="6800"/>
            <w:shd w:fill="1F1F1F" w:color="auto" w:val="clear"/>
            <w:tcMar>
              <w:top w:type="dxa" w:w="90"/>
              <w:left w:type="dxa" w:w="110"/>
              <w:bottom w:type="dxa" w:w="90"/>
              <w:right w:type="dxa" w:w="110"/>
            </w:tcMar>
          </w:tcPr>
          <w:p>
            <w:r>
              <w:rPr>
                <w:b/>
                <w:bCs/>
                <w:color w:val="FFFFFF"/>
                <w:sz w:val="19"/>
                <w:szCs w:val="19"/>
              </w:rPr>
              <w:t xml:space="preserve">Value</w:t>
            </w:r>
          </w:p>
        </w:tc>
      </w:tr>
      <w:tr>
        <w:tc>
          <w:tcPr>
            <w:tcW w:type="dxa" w:w="2600"/>
            <w:tcMar>
              <w:top w:type="dxa" w:w="90"/>
              <w:left w:type="dxa" w:w="110"/>
              <w:bottom w:type="dxa" w:w="90"/>
              <w:right w:type="dxa" w:w="110"/>
            </w:tcMar>
          </w:tcPr>
          <w:p>
            <w:r>
              <w:rPr>
                <w:b w:val="false"/>
                <w:bCs w:val="false"/>
                <w:color w:val="1F1F1F"/>
                <w:sz w:val="19"/>
                <w:szCs w:val="19"/>
              </w:rPr>
              <w:t xml:space="preserve">Designation</w:t>
            </w:r>
          </w:p>
        </w:tc>
        <w:tc>
          <w:tcPr>
            <w:tcW w:type="dxa" w:w="6800"/>
            <w:tcMar>
              <w:top w:type="dxa" w:w="90"/>
              <w:left w:type="dxa" w:w="110"/>
              <w:bottom w:type="dxa" w:w="90"/>
              <w:right w:type="dxa" w:w="110"/>
            </w:tcMar>
          </w:tcPr>
          <w:p>
            <w:r>
              <w:rPr>
                <w:b w:val="false"/>
                <w:bCs w:val="false"/>
                <w:color w:val="1F1F1F"/>
                <w:sz w:val="19"/>
                <w:szCs w:val="19"/>
              </w:rPr>
              <w:t xml:space="preserve">MVLB-001</w:t>
            </w:r>
          </w:p>
        </w:tc>
      </w:tr>
      <w:tr>
        <w:tc>
          <w:tcPr>
            <w:tcW w:type="dxa" w:w="2600"/>
            <w:tcMar>
              <w:top w:type="dxa" w:w="90"/>
              <w:left w:type="dxa" w:w="110"/>
              <w:bottom w:type="dxa" w:w="90"/>
              <w:right w:type="dxa" w:w="110"/>
            </w:tcMar>
          </w:tcPr>
          <w:p>
            <w:r>
              <w:rPr>
                <w:b w:val="false"/>
                <w:bCs w:val="false"/>
                <w:color w:val="1F1F1F"/>
                <w:sz w:val="19"/>
                <w:szCs w:val="19"/>
              </w:rPr>
              <w:t xml:space="preserve">Title</w:t>
            </w:r>
          </w:p>
        </w:tc>
        <w:tc>
          <w:tcPr>
            <w:tcW w:type="dxa" w:w="6800"/>
            <w:tcMar>
              <w:top w:type="dxa" w:w="90"/>
              <w:left w:type="dxa" w:w="110"/>
              <w:bottom w:type="dxa" w:w="90"/>
              <w:right w:type="dxa" w:w="110"/>
            </w:tcMar>
          </w:tcPr>
          <w:p>
            <w:r>
              <w:rPr>
                <w:b w:val="false"/>
                <w:bCs w:val="false"/>
                <w:color w:val="1F1F1F"/>
                <w:sz w:val="19"/>
                <w:szCs w:val="19"/>
              </w:rPr>
              <w:t xml:space="preserve">Maniarverse Visual Language Bible</w:t>
            </w:r>
          </w:p>
        </w:tc>
      </w:tr>
      <w:tr>
        <w:tc>
          <w:tcPr>
            <w:tcW w:type="dxa" w:w="2600"/>
            <w:tcMar>
              <w:top w:type="dxa" w:w="90"/>
              <w:left w:type="dxa" w:w="110"/>
              <w:bottom w:type="dxa" w:w="90"/>
              <w:right w:type="dxa" w:w="110"/>
            </w:tcMar>
          </w:tcPr>
          <w:p>
            <w:r>
              <w:rPr>
                <w:b w:val="false"/>
                <w:bCs w:val="false"/>
                <w:color w:val="1F1F1F"/>
                <w:sz w:val="19"/>
                <w:szCs w:val="19"/>
              </w:rPr>
              <w:t xml:space="preserve">Version</w:t>
            </w:r>
          </w:p>
        </w:tc>
        <w:tc>
          <w:tcPr>
            <w:tcW w:type="dxa" w:w="6800"/>
            <w:tcMar>
              <w:top w:type="dxa" w:w="90"/>
              <w:left w:type="dxa" w:w="110"/>
              <w:bottom w:type="dxa" w:w="90"/>
              <w:right w:type="dxa" w:w="110"/>
            </w:tcMar>
          </w:tcPr>
          <w:p>
            <w:r>
              <w:rPr>
                <w:b w:val="false"/>
                <w:bCs w:val="false"/>
                <w:color w:val="1F1F1F"/>
                <w:sz w:val="19"/>
                <w:szCs w:val="19"/>
              </w:rPr>
              <w:t xml:space="preserve">0.1 — Chapter 1 of 20</w:t>
            </w:r>
          </w:p>
        </w:tc>
      </w:tr>
      <w:tr>
        <w:tc>
          <w:tcPr>
            <w:tcW w:type="dxa" w:w="2600"/>
            <w:tcMar>
              <w:top w:type="dxa" w:w="90"/>
              <w:left w:type="dxa" w:w="110"/>
              <w:bottom w:type="dxa" w:w="90"/>
              <w:right w:type="dxa" w:w="110"/>
            </w:tcMar>
          </w:tcPr>
          <w:p>
            <w:r>
              <w:rPr>
                <w:b w:val="false"/>
                <w:bCs w:val="false"/>
                <w:color w:val="1F1F1F"/>
                <w:sz w:val="19"/>
                <w:szCs w:val="19"/>
              </w:rPr>
              <w:t xml:space="preserve">Status</w:t>
            </w:r>
          </w:p>
        </w:tc>
        <w:tc>
          <w:tcPr>
            <w:tcW w:type="dxa" w:w="6800"/>
            <w:tcMar>
              <w:top w:type="dxa" w:w="90"/>
              <w:left w:type="dxa" w:w="110"/>
              <w:bottom w:type="dxa" w:w="90"/>
              <w:right w:type="dxa" w:w="110"/>
            </w:tcMar>
          </w:tcPr>
          <w:p>
            <w:r>
              <w:rPr>
                <w:b w:val="false"/>
                <w:bCs w:val="false"/>
                <w:color w:val="1F1F1F"/>
                <w:sz w:val="19"/>
                <w:szCs w:val="19"/>
              </w:rPr>
              <w:t xml:space="preserve">Master Canon Document (per Founder decision); living production document, not a finished style guide</w:t>
            </w:r>
          </w:p>
        </w:tc>
      </w:tr>
      <w:tr>
        <w:tc>
          <w:tcPr>
            <w:tcW w:type="dxa" w:w="2600"/>
            <w:tcMar>
              <w:top w:type="dxa" w:w="90"/>
              <w:left w:type="dxa" w:w="110"/>
              <w:bottom w:type="dxa" w:w="90"/>
              <w:right w:type="dxa" w:w="110"/>
            </w:tcMar>
          </w:tcPr>
          <w:p>
            <w:r>
              <w:rPr>
                <w:b w:val="false"/>
                <w:bCs w:val="false"/>
                <w:color w:val="1F1F1F"/>
                <w:sz w:val="19"/>
                <w:szCs w:val="19"/>
              </w:rPr>
              <w:t xml:space="preserve">Chapters Complete</w:t>
            </w:r>
          </w:p>
        </w:tc>
        <w:tc>
          <w:tcPr>
            <w:tcW w:type="dxa" w:w="6800"/>
            <w:tcMar>
              <w:top w:type="dxa" w:w="90"/>
              <w:left w:type="dxa" w:w="110"/>
              <w:bottom w:type="dxa" w:w="90"/>
              <w:right w:type="dxa" w:w="110"/>
            </w:tcMar>
          </w:tcPr>
          <w:p>
            <w:r>
              <w:rPr>
                <w:b w:val="false"/>
                <w:bCs w:val="false"/>
                <w:color w:val="1F1F1F"/>
                <w:sz w:val="19"/>
                <w:szCs w:val="19"/>
              </w:rPr>
              <w:t xml:space="preserve">1 (Foundations)</w:t>
            </w:r>
          </w:p>
        </w:tc>
      </w:tr>
      <w:tr>
        <w:tc>
          <w:tcPr>
            <w:tcW w:type="dxa" w:w="2600"/>
            <w:tcMar>
              <w:top w:type="dxa" w:w="90"/>
              <w:left w:type="dxa" w:w="110"/>
              <w:bottom w:type="dxa" w:w="90"/>
              <w:right w:type="dxa" w:w="110"/>
            </w:tcMar>
          </w:tcPr>
          <w:p>
            <w:r>
              <w:rPr>
                <w:b w:val="false"/>
                <w:bCs w:val="false"/>
                <w:color w:val="1F1F1F"/>
                <w:sz w:val="19"/>
                <w:szCs w:val="19"/>
              </w:rPr>
              <w:t xml:space="preserve">Chapters Pending</w:t>
            </w:r>
          </w:p>
        </w:tc>
        <w:tc>
          <w:tcPr>
            <w:tcW w:type="dxa" w:w="6800"/>
            <w:tcMar>
              <w:top w:type="dxa" w:w="90"/>
              <w:left w:type="dxa" w:w="110"/>
              <w:bottom w:type="dxa" w:w="90"/>
              <w:right w:type="dxa" w:w="110"/>
            </w:tcMar>
          </w:tcPr>
          <w:p>
            <w:r>
              <w:rPr>
                <w:b w:val="false"/>
                <w:bCs w:val="false"/>
                <w:color w:val="1F1F1F"/>
                <w:sz w:val="19"/>
                <w:szCs w:val="19"/>
              </w:rPr>
              <w:t xml:space="preserve">2–20, per the approved Table of Contents</w:t>
            </w:r>
          </w:p>
        </w:tc>
      </w:tr>
      <w:tr>
        <w:tc>
          <w:tcPr>
            <w:tcW w:type="dxa" w:w="2600"/>
            <w:tcMar>
              <w:top w:type="dxa" w:w="90"/>
              <w:left w:type="dxa" w:w="110"/>
              <w:bottom w:type="dxa" w:w="90"/>
              <w:right w:type="dxa" w:w="110"/>
            </w:tcMar>
          </w:tcPr>
          <w:p>
            <w:r>
              <w:rPr>
                <w:b w:val="false"/>
                <w:bCs w:val="false"/>
                <w:color w:val="1F1F1F"/>
                <w:sz w:val="19"/>
                <w:szCs w:val="19"/>
              </w:rPr>
              <w:t xml:space="preserve">Governing Template</w:t>
            </w:r>
          </w:p>
        </w:tc>
        <w:tc>
          <w:tcPr>
            <w:tcW w:type="dxa" w:w="6800"/>
            <w:tcMar>
              <w:top w:type="dxa" w:w="90"/>
              <w:left w:type="dxa" w:w="110"/>
              <w:bottom w:type="dxa" w:w="90"/>
              <w:right w:type="dxa" w:w="110"/>
            </w:tcMar>
          </w:tcPr>
          <w:p>
            <w:r>
              <w:rPr>
                <w:b w:val="false"/>
                <w:bCs w:val="false"/>
                <w:color w:val="1F1F1F"/>
                <w:sz w:val="19"/>
                <w:szCs w:val="19"/>
              </w:rPr>
              <w:t xml:space="preserve">Every chapter follows: Purpose → Principles → Rationale → Production Impact → Good/Bad Examples → Canon Cross-References → Open Decisions</w:t>
            </w:r>
          </w:p>
        </w:tc>
      </w:tr>
      <w:tr>
        <w:tc>
          <w:tcPr>
            <w:tcW w:type="dxa" w:w="2600"/>
            <w:tcMar>
              <w:top w:type="dxa" w:w="90"/>
              <w:left w:type="dxa" w:w="110"/>
              <w:bottom w:type="dxa" w:w="90"/>
              <w:right w:type="dxa" w:w="110"/>
            </w:tcMar>
          </w:tcPr>
          <w:p>
            <w:r>
              <w:rPr>
                <w:b w:val="false"/>
                <w:bCs w:val="false"/>
                <w:color w:val="1F1F1F"/>
                <w:sz w:val="19"/>
                <w:szCs w:val="19"/>
              </w:rPr>
              <w:t xml:space="preserve">Label System</w:t>
            </w:r>
          </w:p>
        </w:tc>
        <w:tc>
          <w:tcPr>
            <w:tcW w:type="dxa" w:w="6800"/>
            <w:tcMar>
              <w:top w:type="dxa" w:w="90"/>
              <w:left w:type="dxa" w:w="110"/>
              <w:bottom w:type="dxa" w:w="90"/>
              <w:right w:type="dxa" w:w="110"/>
            </w:tcMar>
          </w:tcPr>
          <w:p>
            <w:r>
              <w:rPr>
                <w:b w:val="false"/>
                <w:bCs w:val="false"/>
                <w:color w:val="1F1F1F"/>
                <w:sz w:val="19"/>
                <w:szCs w:val="19"/>
              </w:rPr>
              <w:t xml:space="preserve">[CANON] definite · [GUIDELINE] strong recommendation · [BEST PRACTICE] suggested · [OPEN] undecided</w:t>
            </w:r>
          </w:p>
        </w:tc>
      </w:tr>
      <w:tr>
        <w:tc>
          <w:tcPr>
            <w:tcW w:type="dxa" w:w="2600"/>
            <w:tcMar>
              <w:top w:type="dxa" w:w="90"/>
              <w:left w:type="dxa" w:w="110"/>
              <w:bottom w:type="dxa" w:w="90"/>
              <w:right w:type="dxa" w:w="110"/>
            </w:tcMar>
          </w:tcPr>
          <w:p>
            <w:r>
              <w:rPr>
                <w:b w:val="false"/>
                <w:bCs w:val="false"/>
                <w:color w:val="1F1F1F"/>
                <w:sz w:val="19"/>
                <w:szCs w:val="19"/>
              </w:rPr>
              <w:t xml:space="preserve">Image Placeholder System</w:t>
            </w:r>
          </w:p>
        </w:tc>
        <w:tc>
          <w:tcPr>
            <w:tcW w:type="dxa" w:w="6800"/>
            <w:tcMar>
              <w:top w:type="dxa" w:w="90"/>
              <w:left w:type="dxa" w:w="110"/>
              <w:bottom w:type="dxa" w:w="90"/>
              <w:right w:type="dxa" w:w="110"/>
            </w:tcMar>
          </w:tcPr>
          <w:p>
            <w:r>
              <w:rPr>
                <w:b w:val="false"/>
                <w:bCs w:val="false"/>
                <w:color w:val="1F1F1F"/>
                <w:sz w:val="19"/>
                <w:szCs w:val="19"/>
              </w:rPr>
              <w:t xml:space="preserve">[SKETCH NEEDED] · [DIAGRAM NEEDED] · [COMPARISON PLATE NEEDED] · [COLOR STUDY NEEDED] · [SILHOUETTE SHEET NEEDED] · [MOTION STUDY NEEDED] · [LAYOUT EXAMPLE NEEDED]</w:t>
            </w:r>
          </w:p>
        </w:tc>
      </w:tr>
      <w:tr>
        <w:tc>
          <w:tcPr>
            <w:tcW w:type="dxa" w:w="2600"/>
            <w:tcMar>
              <w:top w:type="dxa" w:w="90"/>
              <w:left w:type="dxa" w:w="110"/>
              <w:bottom w:type="dxa" w:w="90"/>
              <w:right w:type="dxa" w:w="110"/>
            </w:tcMar>
          </w:tcPr>
          <w:p>
            <w:r>
              <w:rPr>
                <w:b w:val="false"/>
                <w:bCs w:val="false"/>
                <w:color w:val="1F1F1F"/>
                <w:sz w:val="19"/>
                <w:szCs w:val="19"/>
              </w:rPr>
              <w:t xml:space="preserve">Next Chapter</w:t>
            </w:r>
          </w:p>
        </w:tc>
        <w:tc>
          <w:tcPr>
            <w:tcW w:type="dxa" w:w="6800"/>
            <w:tcMar>
              <w:top w:type="dxa" w:w="90"/>
              <w:left w:type="dxa" w:w="110"/>
              <w:bottom w:type="dxa" w:w="90"/>
              <w:right w:type="dxa" w:w="110"/>
            </w:tcMar>
          </w:tcPr>
          <w:p>
            <w:r>
              <w:rPr>
                <w:b w:val="false"/>
                <w:bCs w:val="false"/>
                <w:color w:val="1F1F1F"/>
                <w:sz w:val="19"/>
                <w:szCs w:val="19"/>
              </w:rPr>
              <w:t xml:space="preserve">Chapter 2: Visual Philosophy</w:t>
            </w:r>
          </w:p>
        </w:tc>
      </w:tr>
    </w:tbl>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MANIARVERSE · MVLB-001 · Visual Language Bible · Chapter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rPr>
  </w:style>
  <w:style w:type="paragraph" w:styleId="Heading2">
    <w:name w:val="Heading 2"/>
    <w:basedOn w:val="Normal"/>
    <w:next w:val="Normal"/>
    <w:rPr>
      <w:rFonts w:ascii="Georgia" w:cs="Georgia" w:eastAsia="Georgia" w:hAnsi="Georgia"/>
    </w:rPr>
  </w:style>
  <w:style w:type="paragraph" w:styleId="Heading3">
    <w:name w:val="Heading 3"/>
    <w:basedOn w:val="Normal"/>
    <w:next w:val="Normal"/>
    <w:rPr>
      <w:rFonts w:ascii="Georgia" w:cs="Georgia" w:eastAsia="Georgia" w:hAnsi="Georgi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2026-07-23T18:47:57.910Z</dcterms:created>
  <dcterms:modified xsi:type="dcterms:W3CDTF">2026-07-23T18:47:57.921Z</dcterms:modified>
</cp:coreProperties>
</file>

<file path=docProps/custom.xml><?xml version="1.0" encoding="utf-8"?>
<Properties xmlns="http://schemas.openxmlformats.org/officeDocument/2006/custom-properties" xmlns:vt="http://schemas.openxmlformats.org/officeDocument/2006/docPropsVTypes"/>
</file>