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Министерство образования Республики Беларусь</w:t>
      </w:r>
    </w:p>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Учреждение образования</w:t>
      </w:r>
    </w:p>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Белорусский государственный университет</w:t>
      </w:r>
    </w:p>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Информатики и радиоэлектроники</w:t>
      </w:r>
    </w:p>
    <w:p w:rsidR="00AA0E85" w:rsidRDefault="00AA0E85">
      <w:pPr>
        <w:spacing w:before="0" w:after="0" w:line="240" w:lineRule="auto"/>
        <w:rPr>
          <w:rFonts w:ascii="Times New Roman" w:eastAsia="Times New Roman" w:hAnsi="Times New Roman" w:cs="Times New Roman"/>
          <w:sz w:val="28"/>
          <w:szCs w:val="28"/>
        </w:rPr>
      </w:pPr>
    </w:p>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Кафедра защита информации</w:t>
      </w:r>
    </w:p>
    <w:p w:rsidR="00AA0E85" w:rsidRDefault="00000000">
      <w:pPr>
        <w:spacing w:before="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Отчёт</w:t>
      </w:r>
    </w:p>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по практическому занятию №5</w:t>
      </w:r>
    </w:p>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по теме:</w:t>
      </w:r>
    </w:p>
    <w:p w:rsidR="00AA0E85" w:rsidRDefault="00CC1D19">
      <w:pPr>
        <w:spacing w:before="0" w:after="0" w:line="240" w:lineRule="auto"/>
        <w:jc w:val="center"/>
        <w:rPr>
          <w:rFonts w:ascii="Times New Roman" w:eastAsia="Times New Roman" w:hAnsi="Times New Roman" w:cs="Times New Roman"/>
          <w:sz w:val="28"/>
          <w:szCs w:val="28"/>
        </w:rPr>
      </w:pPr>
      <w:r w:rsidRPr="00CC1D19">
        <w:rPr>
          <w:rFonts w:ascii="Times New Roman" w:hAnsi="Times New Roman" w:cs="Times New Roman"/>
          <w:sz w:val="28"/>
          <w:szCs w:val="28"/>
        </w:rPr>
        <w:t>«</w:t>
      </w:r>
      <w:r>
        <w:rPr>
          <w:rFonts w:ascii="Times New Roman" w:eastAsia="Times New Roman" w:hAnsi="Times New Roman" w:cs="Times New Roman"/>
          <w:color w:val="000000"/>
          <w:sz w:val="28"/>
          <w:szCs w:val="28"/>
        </w:rPr>
        <w:t>Защита прав авторов и правообладателей</w:t>
      </w:r>
      <w:r w:rsidRPr="00CC1D19">
        <w:rPr>
          <w:rFonts w:ascii="Times New Roman" w:hAnsi="Times New Roman" w:cs="Times New Roman"/>
          <w:sz w:val="24"/>
          <w:szCs w:val="24"/>
        </w:rPr>
        <w:t>»</w:t>
      </w:r>
    </w:p>
    <w:p w:rsidR="00AA0E85" w:rsidRDefault="00000000">
      <w:pPr>
        <w:spacing w:before="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AA0E85" w:rsidRDefault="00000000">
      <w:pPr>
        <w:spacing w:before="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AA0E85" w:rsidRDefault="00000000">
      <w:pPr>
        <w:spacing w:before="0"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color w:val="000000"/>
          <w:sz w:val="28"/>
          <w:szCs w:val="28"/>
        </w:rPr>
        <w:t xml:space="preserve">Выполнили:   </w:t>
      </w:r>
      <w:proofErr w:type="gram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Проверил:</w:t>
      </w:r>
    </w:p>
    <w:p w:rsidR="00AC2D74" w:rsidRDefault="00000000" w:rsidP="00AC2D74">
      <w:pPr>
        <w:spacing w:before="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 гр. 1</w:t>
      </w:r>
      <w:r w:rsidR="00AC2D74" w:rsidRPr="00AC2D74">
        <w:rPr>
          <w:rFonts w:ascii="Times New Roman" w:eastAsia="Times New Roman" w:hAnsi="Times New Roman" w:cs="Times New Roman"/>
          <w:color w:val="000000"/>
          <w:sz w:val="28"/>
          <w:szCs w:val="28"/>
        </w:rPr>
        <w:t>50503</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roofErr w:type="spellStart"/>
      <w:r>
        <w:rPr>
          <w:rFonts w:ascii="Times New Roman" w:eastAsia="Times New Roman" w:hAnsi="Times New Roman" w:cs="Times New Roman"/>
          <w:color w:val="000000"/>
          <w:sz w:val="28"/>
          <w:szCs w:val="28"/>
        </w:rPr>
        <w:t>Столер</w:t>
      </w:r>
      <w:proofErr w:type="spellEnd"/>
      <w:r>
        <w:rPr>
          <w:rFonts w:ascii="Times New Roman" w:eastAsia="Times New Roman" w:hAnsi="Times New Roman" w:cs="Times New Roman"/>
          <w:color w:val="000000"/>
          <w:sz w:val="28"/>
          <w:szCs w:val="28"/>
        </w:rPr>
        <w:t xml:space="preserve"> Д.В.</w:t>
      </w:r>
      <w:bookmarkStart w:id="0" w:name="_gjdgxs" w:colFirst="0" w:colLast="0"/>
      <w:bookmarkEnd w:id="0"/>
    </w:p>
    <w:p w:rsidR="00AA0E85" w:rsidRDefault="00AC2D74" w:rsidP="00AC2D74">
      <w:pPr>
        <w:spacing w:before="0" w:after="0" w:line="24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Ходосевич</w:t>
      </w:r>
      <w:proofErr w:type="spellEnd"/>
      <w:r>
        <w:rPr>
          <w:rFonts w:ascii="Times New Roman" w:eastAsia="Times New Roman" w:hAnsi="Times New Roman" w:cs="Times New Roman"/>
          <w:color w:val="000000"/>
          <w:sz w:val="28"/>
          <w:szCs w:val="28"/>
        </w:rPr>
        <w:t xml:space="preserve"> </w:t>
      </w:r>
      <w:r w:rsidRPr="00AC2D74">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.А.</w:t>
      </w:r>
      <w:r>
        <w:rPr>
          <w:rFonts w:ascii="Times New Roman" w:eastAsia="Times New Roman" w:hAnsi="Times New Roman" w:cs="Times New Roman"/>
          <w:color w:val="000000"/>
          <w:sz w:val="28"/>
          <w:szCs w:val="28"/>
        </w:rPr>
        <w:br/>
        <w:t>Семков А.Д.</w:t>
      </w:r>
      <w:r>
        <w:rPr>
          <w:rFonts w:ascii="Times New Roman" w:eastAsia="Times New Roman" w:hAnsi="Times New Roman" w:cs="Times New Roman"/>
          <w:color w:val="000000"/>
          <w:sz w:val="28"/>
          <w:szCs w:val="28"/>
        </w:rPr>
        <w:br/>
      </w:r>
      <w:proofErr w:type="spellStart"/>
      <w:r>
        <w:rPr>
          <w:rFonts w:ascii="Times New Roman" w:eastAsia="Times New Roman" w:hAnsi="Times New Roman" w:cs="Times New Roman"/>
          <w:color w:val="000000"/>
          <w:sz w:val="28"/>
          <w:szCs w:val="28"/>
        </w:rPr>
        <w:t>Шарай</w:t>
      </w:r>
      <w:proofErr w:type="spellEnd"/>
      <w:r>
        <w:rPr>
          <w:rFonts w:ascii="Times New Roman" w:eastAsia="Times New Roman" w:hAnsi="Times New Roman" w:cs="Times New Roman"/>
          <w:color w:val="000000"/>
          <w:sz w:val="28"/>
          <w:szCs w:val="28"/>
        </w:rPr>
        <w:t xml:space="preserve"> П.Ю.</w:t>
      </w:r>
      <w:r>
        <w:rPr>
          <w:rFonts w:ascii="Times New Roman" w:eastAsia="Times New Roman" w:hAnsi="Times New Roman" w:cs="Times New Roman"/>
          <w:color w:val="000000"/>
          <w:sz w:val="28"/>
          <w:szCs w:val="28"/>
        </w:rPr>
        <w:br/>
      </w:r>
      <w:proofErr w:type="spellStart"/>
      <w:r>
        <w:rPr>
          <w:rFonts w:ascii="Times New Roman" w:eastAsia="Times New Roman" w:hAnsi="Times New Roman" w:cs="Times New Roman"/>
          <w:color w:val="000000"/>
          <w:sz w:val="28"/>
          <w:szCs w:val="28"/>
        </w:rPr>
        <w:t>Гайчук</w:t>
      </w:r>
      <w:proofErr w:type="spellEnd"/>
      <w:r>
        <w:rPr>
          <w:rFonts w:ascii="Times New Roman" w:eastAsia="Times New Roman" w:hAnsi="Times New Roman" w:cs="Times New Roman"/>
          <w:color w:val="000000"/>
          <w:sz w:val="28"/>
          <w:szCs w:val="28"/>
        </w:rPr>
        <w:t xml:space="preserve"> В.Н.</w:t>
      </w:r>
    </w:p>
    <w:p w:rsidR="00AA0E85" w:rsidRDefault="00000000">
      <w:pPr>
        <w:spacing w:before="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AA0E85" w:rsidRDefault="00000000">
      <w:pPr>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Минск 202</w:t>
      </w:r>
      <w:r w:rsidR="00AC2D74">
        <w:rPr>
          <w:rFonts w:ascii="Times New Roman" w:eastAsia="Times New Roman" w:hAnsi="Times New Roman" w:cs="Times New Roman"/>
          <w:color w:val="000000"/>
          <w:sz w:val="28"/>
          <w:szCs w:val="28"/>
        </w:rPr>
        <w:t>3</w:t>
      </w:r>
    </w:p>
    <w:p w:rsidR="00AA0E85" w:rsidRDefault="00AA0E85">
      <w:pPr>
        <w:spacing w:before="0" w:after="240" w:line="240" w:lineRule="auto"/>
        <w:rPr>
          <w:rFonts w:ascii="Times New Roman" w:eastAsia="Times New Roman" w:hAnsi="Times New Roman" w:cs="Times New Roman"/>
          <w:sz w:val="28"/>
          <w:szCs w:val="28"/>
        </w:rPr>
      </w:pP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Практическое задание:</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1.</w:t>
      </w:r>
      <w:r>
        <w:rPr>
          <w:rFonts w:ascii="Times New Roman" w:eastAsia="Times New Roman" w:hAnsi="Times New Roman" w:cs="Times New Roman"/>
          <w:color w:val="000000"/>
          <w:sz w:val="28"/>
          <w:szCs w:val="28"/>
        </w:rPr>
        <w:t xml:space="preserve"> Что является основной формой приобретения права на использование объекта промышленной собственности, чтобы внедрить его в производство? </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2.</w:t>
      </w:r>
      <w:r>
        <w:rPr>
          <w:rFonts w:ascii="Times New Roman" w:eastAsia="Times New Roman" w:hAnsi="Times New Roman" w:cs="Times New Roman"/>
          <w:color w:val="000000"/>
          <w:sz w:val="28"/>
          <w:szCs w:val="28"/>
        </w:rPr>
        <w:t xml:space="preserve"> Укажите факторы, влияющие на размер вознаграждения (стоимость лицензии) за право пользования объектом промышленной собственности</w:t>
      </w:r>
      <w:r w:rsidR="00647FD7">
        <w:rPr>
          <w:rFonts w:ascii="Times New Roman" w:eastAsia="Times New Roman" w:hAnsi="Times New Roman" w:cs="Times New Roman"/>
          <w:color w:val="000000"/>
          <w:sz w:val="28"/>
          <w:szCs w:val="28"/>
        </w:rPr>
        <w:t xml:space="preserve"> </w:t>
      </w:r>
      <w:r w:rsidR="00647FD7" w:rsidRPr="00647FD7">
        <w:rPr>
          <w:rFonts w:ascii="Times New Roman" w:eastAsia="Times New Roman" w:hAnsi="Times New Roman" w:cs="Times New Roman"/>
          <w:color w:val="000000"/>
          <w:sz w:val="28"/>
          <w:szCs w:val="28"/>
        </w:rPr>
        <w:t>(</w:t>
      </w:r>
      <w:r w:rsidR="00647FD7">
        <w:rPr>
          <w:rFonts w:ascii="Times New Roman" w:eastAsia="Times New Roman" w:hAnsi="Times New Roman" w:cs="Times New Roman"/>
          <w:color w:val="000000"/>
          <w:sz w:val="28"/>
          <w:szCs w:val="28"/>
        </w:rPr>
        <w:t>ОПС)</w:t>
      </w:r>
      <w:r>
        <w:rPr>
          <w:rFonts w:ascii="Times New Roman" w:eastAsia="Times New Roman" w:hAnsi="Times New Roman" w:cs="Times New Roman"/>
          <w:color w:val="000000"/>
          <w:sz w:val="28"/>
          <w:szCs w:val="28"/>
        </w:rPr>
        <w:t>, и основные методы его расчета.</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3.</w:t>
      </w:r>
      <w:r>
        <w:rPr>
          <w:rFonts w:ascii="Times New Roman" w:eastAsia="Times New Roman" w:hAnsi="Times New Roman" w:cs="Times New Roman"/>
          <w:color w:val="000000"/>
          <w:sz w:val="28"/>
          <w:szCs w:val="28"/>
        </w:rPr>
        <w:t xml:space="preserve"> На основании каких факторов (показателей) формируется размер</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вознаграждения за право пользования объектом промышленной собственности</w:t>
      </w:r>
      <w:r w:rsidR="00647FD7">
        <w:rPr>
          <w:rFonts w:ascii="Times New Roman" w:eastAsia="Times New Roman" w:hAnsi="Times New Roman" w:cs="Times New Roman"/>
          <w:color w:val="000000"/>
          <w:sz w:val="28"/>
          <w:szCs w:val="28"/>
        </w:rPr>
        <w:t xml:space="preserve"> (ОПС)</w:t>
      </w:r>
      <w:r>
        <w:rPr>
          <w:rFonts w:ascii="Times New Roman" w:eastAsia="Times New Roman" w:hAnsi="Times New Roman" w:cs="Times New Roman"/>
          <w:color w:val="000000"/>
          <w:sz w:val="28"/>
          <w:szCs w:val="28"/>
        </w:rPr>
        <w:t>, выплата которого осуществляется в форме роялти (периодических выплат). Приведите формулу расчета стоимости лицензии исходя из стоимости продукции, произведенной с использованием научной разработки</w:t>
      </w:r>
      <w:r w:rsidR="00647FD7">
        <w:rPr>
          <w:rFonts w:ascii="Times New Roman" w:eastAsia="Times New Roman" w:hAnsi="Times New Roman" w:cs="Times New Roman"/>
          <w:color w:val="000000"/>
          <w:sz w:val="28"/>
          <w:szCs w:val="28"/>
        </w:rPr>
        <w:t xml:space="preserve"> (ОПС)</w:t>
      </w:r>
      <w:r>
        <w:rPr>
          <w:rFonts w:ascii="Times New Roman" w:eastAsia="Times New Roman" w:hAnsi="Times New Roman" w:cs="Times New Roman"/>
          <w:color w:val="000000"/>
          <w:sz w:val="28"/>
          <w:szCs w:val="28"/>
        </w:rPr>
        <w:t>.</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4.</w:t>
      </w:r>
      <w:r>
        <w:rPr>
          <w:rFonts w:ascii="Times New Roman" w:eastAsia="Times New Roman" w:hAnsi="Times New Roman" w:cs="Times New Roman"/>
          <w:color w:val="000000"/>
          <w:sz w:val="28"/>
          <w:szCs w:val="28"/>
        </w:rPr>
        <w:t xml:space="preserve"> Как можно определить ставку роялти?</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5.</w:t>
      </w:r>
      <w:r>
        <w:rPr>
          <w:rFonts w:ascii="Times New Roman" w:eastAsia="Times New Roman" w:hAnsi="Times New Roman" w:cs="Times New Roman"/>
          <w:color w:val="000000"/>
          <w:sz w:val="28"/>
          <w:szCs w:val="28"/>
        </w:rPr>
        <w:t xml:space="preserve"> В чем отличие при определении размера вознаграждения,</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выплачиваемого в форме роялти, от размера вознаграждения, выплачиваемого паушальным платежом?</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color w:val="000000"/>
          <w:sz w:val="28"/>
          <w:szCs w:val="28"/>
        </w:rPr>
        <w:t xml:space="preserve"> Указать порядок определения стоимости лицензии при применении в лицензионном договоре комбинированной формы ее оплаты.</w:t>
      </w:r>
    </w:p>
    <w:p w:rsidR="00AA0E85" w:rsidRDefault="00AA0E85">
      <w:pPr>
        <w:spacing w:before="0" w:after="0" w:line="240" w:lineRule="auto"/>
        <w:rPr>
          <w:rFonts w:ascii="Times New Roman" w:eastAsia="Times New Roman" w:hAnsi="Times New Roman" w:cs="Times New Roman"/>
          <w:sz w:val="28"/>
          <w:szCs w:val="28"/>
        </w:rPr>
      </w:pP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Ответы:</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1. </w:t>
      </w:r>
      <w:r>
        <w:rPr>
          <w:rFonts w:ascii="Times New Roman" w:eastAsia="Times New Roman" w:hAnsi="Times New Roman" w:cs="Times New Roman"/>
          <w:color w:val="000000"/>
          <w:sz w:val="28"/>
          <w:szCs w:val="28"/>
        </w:rPr>
        <w:t>Одной из основных форм передачи прав на объекты промышленной</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собственности (ОПС) является передача прав на основе лицензионного договора. Этот документ определяет права на ОПС, которые передает обладатель исключительных имущественных прав (лицензиар) другому лицу (лицензиату) полностью или частично. Покупка лицензии на ОПС – основной способ получения прибыли для патентообладателя и основной способ правомерного использования новой запатентованной технологии в производстве для предприятия.</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2.</w:t>
      </w:r>
      <w:r>
        <w:rPr>
          <w:rFonts w:ascii="Times New Roman" w:eastAsia="Times New Roman" w:hAnsi="Times New Roman" w:cs="Times New Roman"/>
          <w:color w:val="000000"/>
          <w:sz w:val="28"/>
          <w:szCs w:val="28"/>
        </w:rPr>
        <w:t xml:space="preserve"> При определении стоимости лицензии учитывают также следующие факторы:</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а) объем прав, предоставляемых лицензиату (исключительная или простая</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лицензия; право производить, использовать, продавать продукцию или весь комплекс прав);</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б) прибыль или экономию, которую использование лицензии может принести лицензиату;</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 ожидаемый объем товара, производимого по лицензии, или возможности использования технологического процесса (аппаратуры), на который предлагается лицензия;</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г) объем технологических работ, необходимый лицензиату для освоения</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процесса по лицензии; стоимость конструкторских работ (разработка чертежей, спецификаций и т. д.);</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д) вид и характер обязательств, принимаемых на себя по соглашению, например, технические гарантии и ответственность, отсутствие исков третьих лиц, объем помощи, предоставляемой лицензиаром, и т.д.;</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е) ограничительные условия.</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ж) финансовые условия.</w:t>
      </w:r>
    </w:p>
    <w:p w:rsidR="00AA0E85" w:rsidRDefault="00000000">
      <w:pPr>
        <w:spacing w:before="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 характер и условия платежа.</w:t>
      </w:r>
    </w:p>
    <w:p w:rsidR="00317CF4" w:rsidRPr="00317CF4" w:rsidRDefault="00317CF4" w:rsidP="00317CF4">
      <w:pPr>
        <w:spacing w:after="0" w:line="240" w:lineRule="auto"/>
        <w:ind w:firstLine="720"/>
        <w:jc w:val="both"/>
        <w:rPr>
          <w:rFonts w:ascii="Times New Roman" w:eastAsia="Times New Roman" w:hAnsi="Times New Roman" w:cs="Times New Roman"/>
          <w:color w:val="000000"/>
          <w:sz w:val="28"/>
          <w:szCs w:val="28"/>
          <w:lang w:eastAsia="ru-RU"/>
        </w:rPr>
      </w:pPr>
      <w:r w:rsidRPr="00317CF4">
        <w:rPr>
          <w:rFonts w:ascii="Times New Roman" w:eastAsia="Times New Roman" w:hAnsi="Times New Roman" w:cs="Times New Roman"/>
          <w:color w:val="000000"/>
          <w:sz w:val="28"/>
          <w:szCs w:val="28"/>
          <w:lang w:eastAsia="ru-RU"/>
        </w:rPr>
        <w:t>1) паушальный (единовременный);</w:t>
      </w:r>
    </w:p>
    <w:p w:rsidR="00317CF4" w:rsidRPr="00317CF4" w:rsidRDefault="00317CF4" w:rsidP="00317CF4">
      <w:pPr>
        <w:spacing w:after="0" w:line="240" w:lineRule="auto"/>
        <w:ind w:firstLine="720"/>
        <w:jc w:val="both"/>
        <w:rPr>
          <w:rFonts w:ascii="Times New Roman" w:eastAsia="Times New Roman" w:hAnsi="Times New Roman" w:cs="Times New Roman"/>
          <w:color w:val="000000"/>
          <w:sz w:val="28"/>
          <w:szCs w:val="28"/>
          <w:lang w:eastAsia="ru-RU"/>
        </w:rPr>
      </w:pPr>
      <w:r w:rsidRPr="00317CF4">
        <w:rPr>
          <w:rFonts w:ascii="Times New Roman" w:eastAsia="Times New Roman" w:hAnsi="Times New Roman" w:cs="Times New Roman"/>
          <w:color w:val="000000"/>
          <w:sz w:val="28"/>
          <w:szCs w:val="28"/>
          <w:lang w:eastAsia="ru-RU"/>
        </w:rPr>
        <w:t>2) роялти (периодические отчисления);</w:t>
      </w:r>
    </w:p>
    <w:p w:rsidR="00317CF4" w:rsidRPr="00317CF4" w:rsidRDefault="00317CF4" w:rsidP="00317CF4">
      <w:pPr>
        <w:spacing w:after="0" w:line="240" w:lineRule="auto"/>
        <w:ind w:firstLine="720"/>
        <w:jc w:val="both"/>
        <w:rPr>
          <w:rFonts w:ascii="Times New Roman" w:eastAsia="Times New Roman" w:hAnsi="Times New Roman" w:cs="Times New Roman"/>
          <w:color w:val="000000"/>
          <w:sz w:val="28"/>
          <w:szCs w:val="28"/>
          <w:lang w:eastAsia="ru-RU"/>
        </w:rPr>
      </w:pPr>
      <w:r w:rsidRPr="00317CF4">
        <w:rPr>
          <w:rFonts w:ascii="Times New Roman" w:eastAsia="Times New Roman" w:hAnsi="Times New Roman" w:cs="Times New Roman"/>
          <w:color w:val="000000"/>
          <w:sz w:val="28"/>
          <w:szCs w:val="28"/>
          <w:lang w:eastAsia="ru-RU"/>
        </w:rPr>
        <w:t>3) комбинированные платежи.</w:t>
      </w:r>
    </w:p>
    <w:p w:rsidR="00317CF4" w:rsidRDefault="00317CF4">
      <w:pPr>
        <w:spacing w:before="0" w:after="0" w:line="240" w:lineRule="auto"/>
        <w:rPr>
          <w:rFonts w:ascii="Times New Roman" w:eastAsia="Times New Roman" w:hAnsi="Times New Roman" w:cs="Times New Roman"/>
          <w:sz w:val="28"/>
          <w:szCs w:val="28"/>
        </w:rPr>
      </w:pP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 международной и внутренней практике лицензионной торговли наиболее</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широко используют два основных метода расчета цены лицензии: затратный и в</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форме текущих платежей (роялти).</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3. </w:t>
      </w:r>
      <w:r>
        <w:rPr>
          <w:rFonts w:ascii="Times New Roman" w:eastAsia="Times New Roman" w:hAnsi="Times New Roman" w:cs="Times New Roman"/>
          <w:color w:val="000000"/>
          <w:sz w:val="28"/>
          <w:szCs w:val="28"/>
        </w:rPr>
        <w:t>Цена лицензии при условии выплаты лицензионного вознаграждения в форме</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роялти формируется в основном тремя факторами:</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сроком действия лицензионного договора;</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базой роялти;</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ставкой роялти.</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color w:val="000000"/>
          <w:sz w:val="28"/>
          <w:szCs w:val="28"/>
        </w:rPr>
        <w:drawing>
          <wp:inline distT="0" distB="0" distL="0" distR="0">
            <wp:extent cx="3886200" cy="942975"/>
            <wp:effectExtent l="0" t="0" r="0" b="0"/>
            <wp:docPr id="1" name="image1.png" descr="https://lh5.googleusercontent.com/OkMwKsnI1JND7N3h8Z5FwqJtGcnSiGbSyU4yOVzS829wfyf5WJA3hkTOwgpx9l4xNLSXngFe-4XM-1NOAyxppQlxC-lsEjqITQ-LjKipfaF05c45uxAixd5aKfjrCGEtj_JHuuovA8wpG-Q-VU04xlXy3E_gaN27OTo76AhEw3jD5vEu1PWwdqEiZ3H65A"/>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OkMwKsnI1JND7N3h8Z5FwqJtGcnSiGbSyU4yOVzS829wfyf5WJA3hkTOwgpx9l4xNLSXngFe-4XM-1NOAyxppQlxC-lsEjqITQ-LjKipfaF05c45uxAixd5aKfjrCGEtj_JHuuovA8wpG-Q-VU04xlXy3E_gaN27OTo76AhEw3jD5vEu1PWwdqEiZ3H65A"/>
                    <pic:cNvPicPr preferRelativeResize="0"/>
                  </pic:nvPicPr>
                  <pic:blipFill>
                    <a:blip r:embed="rId4"/>
                    <a:srcRect/>
                    <a:stretch>
                      <a:fillRect/>
                    </a:stretch>
                  </pic:blipFill>
                  <pic:spPr>
                    <a:xfrm>
                      <a:off x="0" y="0"/>
                      <a:ext cx="3886200" cy="942975"/>
                    </a:xfrm>
                    <a:prstGeom prst="rect">
                      <a:avLst/>
                    </a:prstGeom>
                    <a:ln/>
                  </pic:spPr>
                </pic:pic>
              </a:graphicData>
            </a:graphic>
          </wp:inline>
        </w:drawing>
      </w:r>
    </w:p>
    <w:p w:rsidR="00317CF4" w:rsidRPr="00E56AF3" w:rsidRDefault="00317CF4" w:rsidP="00317CF4">
      <w:pPr>
        <w:pStyle w:val="ListParagraph"/>
        <w:spacing w:after="0" w:line="240" w:lineRule="auto"/>
        <w:ind w:firstLine="720"/>
        <w:jc w:val="both"/>
        <w:rPr>
          <w:rFonts w:ascii="Times New Roman" w:eastAsia="Times New Roman" w:hAnsi="Times New Roman" w:cs="Times New Roman"/>
          <w:color w:val="000000"/>
          <w:sz w:val="28"/>
          <w:szCs w:val="28"/>
          <w:lang w:val="ru-RU" w:eastAsia="ru-RU"/>
        </w:rPr>
      </w:pPr>
      <w:r w:rsidRPr="00E56AF3">
        <w:rPr>
          <w:rFonts w:ascii="Times New Roman" w:eastAsia="Times New Roman" w:hAnsi="Times New Roman" w:cs="Times New Roman"/>
          <w:color w:val="000000"/>
          <w:sz w:val="28"/>
          <w:szCs w:val="28"/>
          <w:lang w:val="ru-RU" w:eastAsia="ru-RU"/>
        </w:rPr>
        <w:t xml:space="preserve">где </w:t>
      </w:r>
      <w:proofErr w:type="spellStart"/>
      <w:r w:rsidRPr="00E56AF3">
        <w:rPr>
          <w:rFonts w:ascii="Times New Roman" w:eastAsia="Times New Roman" w:hAnsi="Times New Roman" w:cs="Times New Roman"/>
          <w:color w:val="000000"/>
          <w:sz w:val="28"/>
          <w:szCs w:val="28"/>
          <w:lang w:val="ru-RU" w:eastAsia="ru-RU"/>
        </w:rPr>
        <w:t>Ц</w:t>
      </w:r>
      <w:r w:rsidRPr="00E56AF3">
        <w:rPr>
          <w:rFonts w:ascii="Times New Roman" w:eastAsia="Times New Roman" w:hAnsi="Times New Roman" w:cs="Times New Roman"/>
          <w:color w:val="000000"/>
          <w:sz w:val="28"/>
          <w:szCs w:val="28"/>
          <w:vertAlign w:val="subscript"/>
          <w:lang w:val="ru-RU" w:eastAsia="ru-RU"/>
        </w:rPr>
        <w:t>пр</w:t>
      </w:r>
      <w:proofErr w:type="spellEnd"/>
      <w:r w:rsidRPr="00E56AF3">
        <w:rPr>
          <w:rFonts w:ascii="Times New Roman" w:eastAsia="Times New Roman" w:hAnsi="Times New Roman" w:cs="Times New Roman"/>
          <w:color w:val="000000"/>
          <w:sz w:val="28"/>
          <w:szCs w:val="28"/>
          <w:lang w:val="ru-RU" w:eastAsia="ru-RU"/>
        </w:rPr>
        <w:t xml:space="preserve"> – среднемировая стоимость единицы продукции, которая будет</w:t>
      </w:r>
      <w:r>
        <w:rPr>
          <w:rFonts w:ascii="Times New Roman" w:eastAsia="Times New Roman" w:hAnsi="Times New Roman" w:cs="Times New Roman"/>
          <w:color w:val="000000"/>
          <w:sz w:val="28"/>
          <w:szCs w:val="28"/>
          <w:lang w:val="ru-RU" w:eastAsia="ru-RU"/>
        </w:rPr>
        <w:t xml:space="preserve"> </w:t>
      </w:r>
      <w:r w:rsidRPr="00E56AF3">
        <w:rPr>
          <w:rFonts w:ascii="Times New Roman" w:eastAsia="Times New Roman" w:hAnsi="Times New Roman" w:cs="Times New Roman"/>
          <w:color w:val="000000"/>
          <w:sz w:val="28"/>
          <w:szCs w:val="28"/>
          <w:lang w:val="ru-RU" w:eastAsia="ru-RU"/>
        </w:rPr>
        <w:t>производиться по лицензии;</w:t>
      </w:r>
    </w:p>
    <w:p w:rsidR="00317CF4" w:rsidRPr="00E56AF3" w:rsidRDefault="00317CF4" w:rsidP="00317CF4">
      <w:pPr>
        <w:pStyle w:val="ListParagraph"/>
        <w:spacing w:after="0" w:line="240" w:lineRule="auto"/>
        <w:ind w:firstLine="720"/>
        <w:jc w:val="both"/>
        <w:rPr>
          <w:rFonts w:ascii="Times New Roman" w:eastAsia="Times New Roman" w:hAnsi="Times New Roman" w:cs="Times New Roman"/>
          <w:color w:val="000000"/>
          <w:sz w:val="28"/>
          <w:szCs w:val="28"/>
          <w:lang w:val="ru-RU" w:eastAsia="ru-RU"/>
        </w:rPr>
      </w:pPr>
      <w:proofErr w:type="spellStart"/>
      <w:r w:rsidRPr="00E56AF3">
        <w:rPr>
          <w:rFonts w:ascii="Times New Roman" w:eastAsia="Times New Roman" w:hAnsi="Times New Roman" w:cs="Times New Roman"/>
          <w:color w:val="000000"/>
          <w:sz w:val="28"/>
          <w:szCs w:val="28"/>
          <w:lang w:val="ru-RU" w:eastAsia="ru-RU"/>
        </w:rPr>
        <w:t>V</w:t>
      </w:r>
      <w:r w:rsidRPr="00E56AF3">
        <w:rPr>
          <w:rFonts w:ascii="Times New Roman" w:eastAsia="Times New Roman" w:hAnsi="Times New Roman" w:cs="Times New Roman"/>
          <w:color w:val="000000"/>
          <w:sz w:val="28"/>
          <w:szCs w:val="28"/>
          <w:vertAlign w:val="subscript"/>
          <w:lang w:val="ru-RU" w:eastAsia="ru-RU"/>
        </w:rPr>
        <w:t>i</w:t>
      </w:r>
      <w:proofErr w:type="spellEnd"/>
      <w:r w:rsidRPr="00E56AF3">
        <w:rPr>
          <w:rFonts w:ascii="Times New Roman" w:eastAsia="Times New Roman" w:hAnsi="Times New Roman" w:cs="Times New Roman"/>
          <w:color w:val="000000"/>
          <w:sz w:val="28"/>
          <w:szCs w:val="28"/>
          <w:lang w:val="ru-RU" w:eastAsia="ru-RU"/>
        </w:rPr>
        <w:t xml:space="preserve"> – объем производства продукции по лицензии в i-м году;</w:t>
      </w:r>
    </w:p>
    <w:p w:rsidR="00317CF4" w:rsidRPr="00E56AF3" w:rsidRDefault="00317CF4" w:rsidP="00317CF4">
      <w:pPr>
        <w:pStyle w:val="ListParagraph"/>
        <w:spacing w:after="0" w:line="240" w:lineRule="auto"/>
        <w:ind w:firstLine="720"/>
        <w:jc w:val="both"/>
        <w:rPr>
          <w:rFonts w:ascii="Times New Roman" w:eastAsia="Times New Roman" w:hAnsi="Times New Roman" w:cs="Times New Roman"/>
          <w:color w:val="000000"/>
          <w:sz w:val="28"/>
          <w:szCs w:val="28"/>
          <w:lang w:val="ru-RU" w:eastAsia="ru-RU"/>
        </w:rPr>
      </w:pPr>
      <w:proofErr w:type="spellStart"/>
      <w:r w:rsidRPr="00E56AF3">
        <w:rPr>
          <w:rFonts w:ascii="Times New Roman" w:eastAsia="Times New Roman" w:hAnsi="Times New Roman" w:cs="Times New Roman"/>
          <w:color w:val="000000"/>
          <w:sz w:val="28"/>
          <w:szCs w:val="28"/>
          <w:lang w:val="ru-RU" w:eastAsia="ru-RU"/>
        </w:rPr>
        <w:t>p</w:t>
      </w:r>
      <w:r w:rsidRPr="00E56AF3">
        <w:rPr>
          <w:rFonts w:ascii="Times New Roman" w:eastAsia="Times New Roman" w:hAnsi="Times New Roman" w:cs="Times New Roman"/>
          <w:color w:val="000000"/>
          <w:sz w:val="28"/>
          <w:szCs w:val="28"/>
          <w:vertAlign w:val="subscript"/>
          <w:lang w:val="ru-RU" w:eastAsia="ru-RU"/>
        </w:rPr>
        <w:t>i</w:t>
      </w:r>
      <w:proofErr w:type="spellEnd"/>
      <w:r w:rsidRPr="00E56AF3">
        <w:rPr>
          <w:rFonts w:ascii="Times New Roman" w:eastAsia="Times New Roman" w:hAnsi="Times New Roman" w:cs="Times New Roman"/>
          <w:color w:val="000000"/>
          <w:sz w:val="28"/>
          <w:szCs w:val="28"/>
          <w:lang w:val="ru-RU" w:eastAsia="ru-RU"/>
        </w:rPr>
        <w:t xml:space="preserve"> – ставка роялти в i-м году;</w:t>
      </w:r>
    </w:p>
    <w:p w:rsidR="00317CF4" w:rsidRDefault="00317CF4" w:rsidP="00317CF4">
      <w:pPr>
        <w:pStyle w:val="ListParagraph"/>
        <w:spacing w:after="0" w:line="240" w:lineRule="auto"/>
        <w:ind w:firstLine="720"/>
        <w:jc w:val="both"/>
        <w:rPr>
          <w:rFonts w:ascii="Times New Roman" w:eastAsia="Times New Roman" w:hAnsi="Times New Roman" w:cs="Times New Roman"/>
          <w:color w:val="000000"/>
          <w:sz w:val="28"/>
          <w:szCs w:val="28"/>
          <w:lang w:val="ru-RU" w:eastAsia="ru-RU"/>
        </w:rPr>
      </w:pPr>
      <w:r w:rsidRPr="00E56AF3">
        <w:rPr>
          <w:rFonts w:ascii="Times New Roman" w:eastAsia="Times New Roman" w:hAnsi="Times New Roman" w:cs="Times New Roman"/>
          <w:color w:val="000000"/>
          <w:sz w:val="28"/>
          <w:szCs w:val="28"/>
          <w:lang w:val="ru-RU" w:eastAsia="ru-RU"/>
        </w:rPr>
        <w:t>τ – срок действия лицензионного договора.</w:t>
      </w:r>
    </w:p>
    <w:p w:rsidR="00317CF4" w:rsidRDefault="00317CF4">
      <w:pPr>
        <w:spacing w:before="0" w:after="0" w:line="240" w:lineRule="auto"/>
        <w:rPr>
          <w:rFonts w:ascii="Times New Roman" w:eastAsia="Times New Roman" w:hAnsi="Times New Roman" w:cs="Times New Roman"/>
          <w:sz w:val="28"/>
          <w:szCs w:val="28"/>
        </w:rPr>
      </w:pPr>
    </w:p>
    <w:p w:rsidR="00317CF4" w:rsidRDefault="00317CF4">
      <w:pPr>
        <w:spacing w:before="0" w:after="0" w:line="240" w:lineRule="auto"/>
        <w:rPr>
          <w:rFonts w:ascii="Times New Roman" w:eastAsia="Times New Roman" w:hAnsi="Times New Roman" w:cs="Times New Roman"/>
          <w:sz w:val="28"/>
          <w:szCs w:val="28"/>
        </w:rPr>
      </w:pP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4. </w:t>
      </w:r>
      <w:r>
        <w:rPr>
          <w:rFonts w:ascii="Times New Roman" w:eastAsia="Times New Roman" w:hAnsi="Times New Roman" w:cs="Times New Roman"/>
          <w:color w:val="000000"/>
          <w:sz w:val="28"/>
          <w:szCs w:val="28"/>
        </w:rPr>
        <w:t>Размер (ставка) роялти определяется с помощью таблиц (приложение А)</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стандартных ставок роялти, составленных на основе анализа мировой практики</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лицензионной торговли либо расчетным путем исходя из нормы рентабельности</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выпускаемой по лицензии продукции и доли лицензиара в прибыли лицензиата:</w:t>
      </w:r>
      <w:r>
        <w:rPr>
          <w:rFonts w:ascii="Times New Roman" w:eastAsia="Times New Roman" w:hAnsi="Times New Roman" w:cs="Times New Roman"/>
          <w:noProof/>
          <w:color w:val="000000"/>
          <w:sz w:val="28"/>
          <w:szCs w:val="28"/>
        </w:rPr>
        <w:drawing>
          <wp:inline distT="0" distB="0" distL="0" distR="0">
            <wp:extent cx="5705475" cy="1304925"/>
            <wp:effectExtent l="0" t="0" r="0" b="0"/>
            <wp:docPr id="2" name="image2.png" descr="https://lh5.googleusercontent.com/DebdFGfc8McQresFvrCEdhGcyNGRTiQlOdd1Heytrc6Y37ejs07CVDYXTToLfd6JcZG0AIcBNuZcoNmg-W55GYsp2goXtC1rfLruqQ-kEo3tl1QQnesaIqHpnh9pudtz97fXs8aDkYC_kkhBTXNYO7b5Jm92m_ZQfGqYj4ptu0AKwYzZlnCWdUvi2kbT9Q"/>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DebdFGfc8McQresFvrCEdhGcyNGRTiQlOdd1Heytrc6Y37ejs07CVDYXTToLfd6JcZG0AIcBNuZcoNmg-W55GYsp2goXtC1rfLruqQ-kEo3tl1QQnesaIqHpnh9pudtz97fXs8aDkYC_kkhBTXNYO7b5Jm92m_ZQfGqYj4ptu0AKwYzZlnCWdUvi2kbT9Q"/>
                    <pic:cNvPicPr preferRelativeResize="0"/>
                  </pic:nvPicPr>
                  <pic:blipFill>
                    <a:blip r:embed="rId5"/>
                    <a:srcRect/>
                    <a:stretch>
                      <a:fillRect/>
                    </a:stretch>
                  </pic:blipFill>
                  <pic:spPr>
                    <a:xfrm>
                      <a:off x="0" y="0"/>
                      <a:ext cx="5705475" cy="1304925"/>
                    </a:xfrm>
                    <a:prstGeom prst="rect">
                      <a:avLst/>
                    </a:prstGeom>
                    <a:ln/>
                  </pic:spPr>
                </pic:pic>
              </a:graphicData>
            </a:graphic>
          </wp:inline>
        </w:drawing>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5. </w:t>
      </w:r>
      <w:r>
        <w:rPr>
          <w:rFonts w:ascii="Times New Roman" w:eastAsia="Times New Roman" w:hAnsi="Times New Roman" w:cs="Times New Roman"/>
          <w:color w:val="000000"/>
          <w:sz w:val="28"/>
          <w:szCs w:val="28"/>
        </w:rPr>
        <w:t>Общая стоимость лицензии будет ниже, чем при выплате</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вознаграждения в форме роялти, потому что при паушальном платеже происходит как</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бы кредитование лицензиара лицензиатом. Уменьшение общей суммы</w:t>
      </w:r>
    </w:p>
    <w:p w:rsidR="00AA0E85" w:rsidRDefault="00000000">
      <w:pPr>
        <w:spacing w:before="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вознаграждения зависит от ставки банковского процента.</w:t>
      </w:r>
    </w:p>
    <w:p w:rsidR="00317CF4" w:rsidRDefault="00317CF4" w:rsidP="00317CF4">
      <w:pPr>
        <w:pStyle w:val="ListParagraph"/>
        <w:spacing w:after="0" w:line="240" w:lineRule="auto"/>
        <w:ind w:firstLine="720"/>
        <w:rPr>
          <w:rFonts w:ascii="Times New Roman" w:eastAsia="Times New Roman" w:hAnsi="Times New Roman" w:cs="Times New Roman"/>
          <w:color w:val="000000"/>
          <w:sz w:val="28"/>
          <w:szCs w:val="28"/>
          <w:lang w:val="ru-RU" w:eastAsia="ru-RU"/>
        </w:rPr>
      </w:pPr>
      <w:r>
        <w:rPr>
          <w:rFonts w:ascii="Times New Roman" w:eastAsia="Times New Roman" w:hAnsi="Times New Roman" w:cs="Times New Roman"/>
          <w:color w:val="000000"/>
          <w:sz w:val="28"/>
          <w:szCs w:val="28"/>
          <w:lang w:val="ru-RU" w:eastAsia="ru-RU"/>
        </w:rPr>
        <w:t xml:space="preserve">          </w:t>
      </w:r>
      <w:r w:rsidRPr="008E41DF">
        <w:rPr>
          <w:rFonts w:ascii="Times New Roman" w:eastAsia="Times New Roman" w:hAnsi="Times New Roman" w:cs="Times New Roman"/>
          <w:noProof/>
          <w:color w:val="000000"/>
          <w:sz w:val="28"/>
          <w:szCs w:val="28"/>
          <w:lang w:val="ru-RU" w:eastAsia="ru-RU"/>
        </w:rPr>
        <w:drawing>
          <wp:inline distT="0" distB="0" distL="0" distR="0" wp14:anchorId="48D0353A" wp14:editId="7696CAEF">
            <wp:extent cx="2202371" cy="967824"/>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2371" cy="967824"/>
                    </a:xfrm>
                    <a:prstGeom prst="rect">
                      <a:avLst/>
                    </a:prstGeom>
                  </pic:spPr>
                </pic:pic>
              </a:graphicData>
            </a:graphic>
          </wp:inline>
        </w:drawing>
      </w:r>
    </w:p>
    <w:p w:rsidR="00317CF4" w:rsidRDefault="00317CF4" w:rsidP="00317CF4">
      <w:pPr>
        <w:pStyle w:val="ListParagraph"/>
        <w:spacing w:after="0" w:line="240" w:lineRule="auto"/>
        <w:ind w:firstLine="720"/>
        <w:jc w:val="both"/>
        <w:rPr>
          <w:rFonts w:ascii="Times New Roman" w:eastAsia="Times New Roman" w:hAnsi="Times New Roman" w:cs="Times New Roman"/>
          <w:color w:val="000000"/>
          <w:sz w:val="28"/>
          <w:szCs w:val="28"/>
          <w:lang w:val="ru-RU" w:eastAsia="ru-RU"/>
        </w:rPr>
      </w:pPr>
      <w:r w:rsidRPr="008E41DF">
        <w:rPr>
          <w:rFonts w:ascii="Times New Roman" w:eastAsia="Times New Roman" w:hAnsi="Times New Roman" w:cs="Times New Roman"/>
          <w:color w:val="000000"/>
          <w:sz w:val="28"/>
          <w:szCs w:val="28"/>
          <w:lang w:val="ru-RU" w:eastAsia="ru-RU"/>
        </w:rPr>
        <w:t xml:space="preserve">где </w:t>
      </w:r>
      <w:proofErr w:type="spellStart"/>
      <w:r w:rsidRPr="008E41DF">
        <w:rPr>
          <w:rFonts w:ascii="Times New Roman" w:eastAsia="Times New Roman" w:hAnsi="Times New Roman" w:cs="Times New Roman"/>
          <w:color w:val="000000"/>
          <w:sz w:val="28"/>
          <w:szCs w:val="28"/>
          <w:lang w:val="ru-RU" w:eastAsia="ru-RU"/>
        </w:rPr>
        <w:t>Е</w:t>
      </w:r>
      <w:r w:rsidRPr="008E41DF">
        <w:rPr>
          <w:rFonts w:ascii="Times New Roman" w:eastAsia="Times New Roman" w:hAnsi="Times New Roman" w:cs="Times New Roman"/>
          <w:color w:val="000000"/>
          <w:sz w:val="28"/>
          <w:szCs w:val="28"/>
          <w:vertAlign w:val="subscript"/>
          <w:lang w:val="ru-RU" w:eastAsia="ru-RU"/>
        </w:rPr>
        <w:t>d</w:t>
      </w:r>
      <w:proofErr w:type="spellEnd"/>
      <w:r w:rsidRPr="008E41DF">
        <w:rPr>
          <w:rFonts w:ascii="Times New Roman" w:eastAsia="Times New Roman" w:hAnsi="Times New Roman" w:cs="Times New Roman"/>
          <w:color w:val="000000"/>
          <w:sz w:val="28"/>
          <w:szCs w:val="28"/>
          <w:lang w:val="ru-RU" w:eastAsia="ru-RU"/>
        </w:rPr>
        <w:t xml:space="preserve"> – ставка дисконта, равная ставке банковского процента по кредитным</w:t>
      </w:r>
      <w:r>
        <w:rPr>
          <w:rFonts w:ascii="Times New Roman" w:eastAsia="Times New Roman" w:hAnsi="Times New Roman" w:cs="Times New Roman"/>
          <w:color w:val="000000"/>
          <w:sz w:val="28"/>
          <w:szCs w:val="28"/>
          <w:lang w:val="ru-RU" w:eastAsia="ru-RU"/>
        </w:rPr>
        <w:t xml:space="preserve"> </w:t>
      </w:r>
      <w:r w:rsidRPr="008E41DF">
        <w:rPr>
          <w:rFonts w:ascii="Times New Roman" w:eastAsia="Times New Roman" w:hAnsi="Times New Roman" w:cs="Times New Roman"/>
          <w:color w:val="000000"/>
          <w:sz w:val="28"/>
          <w:szCs w:val="28"/>
          <w:lang w:val="ru-RU" w:eastAsia="ru-RU"/>
        </w:rPr>
        <w:t>операциям.</w:t>
      </w:r>
    </w:p>
    <w:p w:rsidR="00317CF4" w:rsidRDefault="00317CF4">
      <w:pPr>
        <w:spacing w:before="0" w:after="0" w:line="240" w:lineRule="auto"/>
        <w:rPr>
          <w:rFonts w:ascii="Times New Roman" w:eastAsia="Times New Roman" w:hAnsi="Times New Roman" w:cs="Times New Roman"/>
          <w:sz w:val="28"/>
          <w:szCs w:val="28"/>
        </w:rPr>
      </w:pPr>
    </w:p>
    <w:p w:rsidR="00AA0E85" w:rsidRDefault="00AA0E85">
      <w:pPr>
        <w:spacing w:before="0" w:after="0" w:line="240" w:lineRule="auto"/>
        <w:rPr>
          <w:rFonts w:ascii="Times New Roman" w:eastAsia="Times New Roman" w:hAnsi="Times New Roman" w:cs="Times New Roman"/>
          <w:sz w:val="28"/>
          <w:szCs w:val="28"/>
        </w:rPr>
      </w:pP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6. </w:t>
      </w:r>
      <w:r>
        <w:rPr>
          <w:rFonts w:ascii="Times New Roman" w:eastAsia="Times New Roman" w:hAnsi="Times New Roman" w:cs="Times New Roman"/>
          <w:color w:val="000000"/>
          <w:sz w:val="28"/>
          <w:szCs w:val="28"/>
        </w:rPr>
        <w:t>Если лицензионным договором предусматривается комбинированная форма</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оплаты, то сначала проводятся расчеты цены лицензии при платежах в форме роялти,</w:t>
      </w:r>
    </w:p>
    <w:p w:rsidR="00AA0E85" w:rsidRDefault="00000000">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затем производится перерасчет этой цены для формы паушального платежа, после</w:t>
      </w:r>
    </w:p>
    <w:p w:rsidR="00AA0E85" w:rsidRPr="00AC2D74" w:rsidRDefault="00000000" w:rsidP="00AC2D74">
      <w:pPr>
        <w:spacing w:before="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чего выбирается размер первоначального платежа по лицензии.</w:t>
      </w:r>
    </w:p>
    <w:sectPr w:rsidR="00AA0E85" w:rsidRPr="00AC2D74">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85"/>
    <w:rsid w:val="00317CF4"/>
    <w:rsid w:val="00647FD7"/>
    <w:rsid w:val="00AA0E85"/>
    <w:rsid w:val="00AC2D74"/>
    <w:rsid w:val="00CC1D19"/>
    <w:rsid w:val="00F751BA"/>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031C5727"/>
  <w15:docId w15:val="{E6FD1546-75C7-664D-A7A3-1151EC96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lang w:val="ru-RU"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DDDDDD"/>
        <w:left w:val="single" w:sz="24" w:space="0" w:color="DDDDDD"/>
        <w:bottom w:val="single" w:sz="24" w:space="0" w:color="DDDDDD"/>
        <w:right w:val="single" w:sz="24" w:space="0" w:color="DDDDDD"/>
      </w:pBdr>
      <w:shd w:val="clear" w:color="auto" w:fill="DDDDDD"/>
      <w:spacing w:after="0"/>
      <w:outlineLvl w:val="0"/>
    </w:pPr>
    <w:rPr>
      <w:smallCaps/>
      <w:color w:val="FFFFFF"/>
      <w:sz w:val="22"/>
      <w:szCs w:val="22"/>
    </w:rPr>
  </w:style>
  <w:style w:type="paragraph" w:styleId="Heading2">
    <w:name w:val="heading 2"/>
    <w:basedOn w:val="Normal"/>
    <w:next w:val="Normal"/>
    <w:uiPriority w:val="9"/>
    <w:semiHidden/>
    <w:unhideWhenUsed/>
    <w:qFormat/>
    <w:pPr>
      <w:pBdr>
        <w:top w:val="single" w:sz="24" w:space="0" w:color="F8F8F8"/>
        <w:left w:val="single" w:sz="24" w:space="0" w:color="F8F8F8"/>
        <w:bottom w:val="single" w:sz="24" w:space="0" w:color="F8F8F8"/>
        <w:right w:val="single" w:sz="24" w:space="0" w:color="F8F8F8"/>
      </w:pBdr>
      <w:shd w:val="clear" w:color="auto" w:fill="F8F8F8"/>
      <w:spacing w:after="0"/>
      <w:outlineLvl w:val="1"/>
    </w:pPr>
    <w:rPr>
      <w:smallCaps/>
    </w:rPr>
  </w:style>
  <w:style w:type="paragraph" w:styleId="Heading3">
    <w:name w:val="heading 3"/>
    <w:basedOn w:val="Normal"/>
    <w:next w:val="Normal"/>
    <w:uiPriority w:val="9"/>
    <w:semiHidden/>
    <w:unhideWhenUsed/>
    <w:qFormat/>
    <w:pPr>
      <w:pBdr>
        <w:top w:val="single" w:sz="6" w:space="2" w:color="DDDDDD"/>
      </w:pBdr>
      <w:spacing w:before="300" w:after="0"/>
      <w:outlineLvl w:val="2"/>
    </w:pPr>
    <w:rPr>
      <w:smallCaps/>
      <w:color w:val="6E6E6E"/>
    </w:rPr>
  </w:style>
  <w:style w:type="paragraph" w:styleId="Heading4">
    <w:name w:val="heading 4"/>
    <w:basedOn w:val="Normal"/>
    <w:next w:val="Normal"/>
    <w:uiPriority w:val="9"/>
    <w:semiHidden/>
    <w:unhideWhenUsed/>
    <w:qFormat/>
    <w:pPr>
      <w:pBdr>
        <w:top w:val="dotted" w:sz="6" w:space="2" w:color="DDDDDD"/>
      </w:pBdr>
      <w:spacing w:before="200" w:after="0"/>
      <w:outlineLvl w:val="3"/>
    </w:pPr>
    <w:rPr>
      <w:smallCaps/>
      <w:color w:val="A5A5A5"/>
    </w:rPr>
  </w:style>
  <w:style w:type="paragraph" w:styleId="Heading5">
    <w:name w:val="heading 5"/>
    <w:basedOn w:val="Normal"/>
    <w:next w:val="Normal"/>
    <w:uiPriority w:val="9"/>
    <w:semiHidden/>
    <w:unhideWhenUsed/>
    <w:qFormat/>
    <w:pPr>
      <w:pBdr>
        <w:bottom w:val="single" w:sz="6" w:space="1" w:color="DDDDDD"/>
      </w:pBdr>
      <w:spacing w:before="200" w:after="0"/>
      <w:outlineLvl w:val="4"/>
    </w:pPr>
    <w:rPr>
      <w:smallCaps/>
      <w:color w:val="A5A5A5"/>
    </w:rPr>
  </w:style>
  <w:style w:type="paragraph" w:styleId="Heading6">
    <w:name w:val="heading 6"/>
    <w:basedOn w:val="Normal"/>
    <w:next w:val="Normal"/>
    <w:uiPriority w:val="9"/>
    <w:semiHidden/>
    <w:unhideWhenUsed/>
    <w:qFormat/>
    <w:pPr>
      <w:pBdr>
        <w:bottom w:val="dotted" w:sz="6" w:space="1" w:color="DDDDDD"/>
      </w:pBdr>
      <w:spacing w:before="200" w:after="0"/>
      <w:outlineLvl w:val="5"/>
    </w:pPr>
    <w:rPr>
      <w:smallCaps/>
      <w:color w:val="A5A5A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smallCaps/>
      <w:color w:val="DDDDDD"/>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ListParagraph">
    <w:name w:val="List Paragraph"/>
    <w:basedOn w:val="Normal"/>
    <w:uiPriority w:val="34"/>
    <w:qFormat/>
    <w:rsid w:val="00317CF4"/>
    <w:pPr>
      <w:spacing w:before="0" w:after="160" w:line="259"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Матвей Ходосевич Александрович</cp:lastModifiedBy>
  <cp:revision>5</cp:revision>
  <dcterms:created xsi:type="dcterms:W3CDTF">2023-04-28T11:29:00Z</dcterms:created>
  <dcterms:modified xsi:type="dcterms:W3CDTF">2023-05-05T11:17:00Z</dcterms:modified>
</cp:coreProperties>
</file>