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0C6" w:rsidRPr="008650C6" w:rsidRDefault="008650C6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8650C6">
        <w:rPr>
          <w:rFonts w:ascii="Helvetica" w:hAnsi="Helvetica"/>
          <w:b/>
          <w:bCs/>
          <w:color w:val="000000"/>
          <w:sz w:val="21"/>
          <w:szCs w:val="21"/>
          <w:highlight w:val="green"/>
          <w:shd w:val="clear" w:color="auto" w:fill="FFFFFF"/>
          <w:lang w:val="ru-RU"/>
        </w:rPr>
        <w:t>Слайд 2:</w:t>
      </w:r>
    </w:p>
    <w:p w:rsidR="008650C6" w:rsidRDefault="008650C6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ru-RU"/>
        </w:rPr>
      </w:pPr>
    </w:p>
    <w:p w:rsidR="002D0253" w:rsidRDefault="002D0253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ru-RU"/>
        </w:rPr>
        <w:t>Основные конкуренты</w:t>
      </w: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en-US"/>
        </w:rPr>
        <w:t>:</w:t>
      </w:r>
    </w:p>
    <w:p w:rsidR="002D0253" w:rsidRDefault="002D0253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«МТБанк» —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современный коммерческий банк, предоставляющий полный комплекс услуг корпоративным и частным клиентам.</w:t>
      </w: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«АСБ Беларусбанк»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— крупнейшее универсальное системообразующее финансово-кредитное учреждение Республики Беларусь.</w:t>
      </w: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D0253" w:rsidRPr="002D0253" w:rsidRDefault="002D0253" w:rsidP="002D0253">
      <w:pPr>
        <w:pStyle w:val="NormalWeb"/>
        <w:spacing w:before="0" w:beforeAutospacing="0" w:after="168" w:afterAutospacing="0"/>
        <w:jc w:val="both"/>
        <w:rPr>
          <w:rFonts w:ascii="Helvetica" w:hAnsi="Helvetica"/>
          <w:color w:val="000000"/>
          <w:sz w:val="21"/>
          <w:szCs w:val="21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</w:rPr>
        <w:t>«Белагропромбанк</w:t>
      </w:r>
      <w:r>
        <w:rPr>
          <w:rFonts w:ascii="Helvetica" w:hAnsi="Helvetica"/>
          <w:color w:val="000000"/>
          <w:sz w:val="21"/>
          <w:szCs w:val="21"/>
        </w:rPr>
        <w:t>»</w:t>
      </w:r>
      <w:r>
        <w:rPr>
          <w:rFonts w:ascii="Helvetica" w:hAnsi="Helvetica"/>
          <w:color w:val="000000"/>
          <w:sz w:val="21"/>
          <w:szCs w:val="21"/>
          <w:lang w:val="ru-RU"/>
        </w:rPr>
        <w:t xml:space="preserve"> - </w:t>
      </w:r>
      <w:r>
        <w:rPr>
          <w:rFonts w:ascii="Helvetica" w:hAnsi="Helvetica"/>
          <w:color w:val="000000"/>
          <w:sz w:val="21"/>
          <w:szCs w:val="21"/>
        </w:rPr>
        <w:t>банком Правительства Республики Беларусь, обслуживающим государственные программы.</w:t>
      </w:r>
    </w:p>
    <w:p w:rsidR="002D0253" w:rsidRDefault="002D025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«Приорбанк»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белорусский коммерческий банк. Основным бенефициарным собственником «Приорбанк» ОАО является Raiffeisen Landesbanken Holding AG (Австрия) — дочерняя компания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>HYPERLINK "https://ru.wikipedia.org/wiki/Raiffeisen_Bank_International" \o "Raiffeisen Bank International"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Raiffeisen Bank International</w:t>
      </w:r>
      <w:r>
        <w:fldChar w:fldCharType="end"/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AG.</w:t>
      </w: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«БПС-Сбербанк»,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2D0253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ru-RU"/>
        </w:rPr>
        <w:t>один из крупнейших банков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lang w:val="ru-RU"/>
        </w:rPr>
        <w:t xml:space="preserve"> РБ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образованный в 1923 году, — один из старейших банков Республики Беларусь.</w:t>
      </w:r>
    </w:p>
    <w:p w:rsidR="002D0253" w:rsidRDefault="002D0253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D0253" w:rsidRDefault="002D0253" w:rsidP="002D0253">
      <w:pPr>
        <w:pStyle w:val="NormalWeb"/>
        <w:spacing w:before="0" w:beforeAutospacing="0" w:after="168" w:afterAutospacing="0"/>
        <w:rPr>
          <w:rFonts w:ascii="Helvetica" w:hAnsi="Helvetica"/>
          <w:color w:val="000000"/>
          <w:sz w:val="21"/>
          <w:szCs w:val="21"/>
        </w:rPr>
      </w:pPr>
      <w:r w:rsidRPr="002D0253">
        <w:rPr>
          <w:rFonts w:ascii="Helvetica" w:hAnsi="Helvetica"/>
          <w:b/>
          <w:bCs/>
          <w:color w:val="000000"/>
          <w:sz w:val="21"/>
          <w:szCs w:val="21"/>
        </w:rPr>
        <w:t>ОАО «Белинвестбанк</w:t>
      </w:r>
      <w:r>
        <w:rPr>
          <w:rFonts w:ascii="Helvetica" w:hAnsi="Helvetica"/>
          <w:color w:val="000000"/>
          <w:sz w:val="21"/>
          <w:szCs w:val="21"/>
        </w:rPr>
        <w:t xml:space="preserve">» </w:t>
      </w:r>
      <w:r w:rsidRPr="002D0253">
        <w:rPr>
          <w:rFonts w:ascii="Helvetica" w:hAnsi="Helvetica"/>
          <w:color w:val="000000"/>
          <w:sz w:val="21"/>
          <w:szCs w:val="21"/>
        </w:rPr>
        <w:t>один из крупных универсальных банков республики, предоставляющий полный комплекс услуг юридическим и физическим лицам различных форм собственности и направлений деятельности. Обеспечивая устойчивое функционирование Банк сохраняет свое присутствие среди крупнейших банков республики</w:t>
      </w:r>
    </w:p>
    <w:p w:rsidR="002D0253" w:rsidRDefault="002D025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color w:val="202122"/>
          <w:sz w:val="21"/>
          <w:szCs w:val="21"/>
        </w:rPr>
        <w:t>ЗАО «Белорусско-Швейцарский Банк «БСБ Банк»</w:t>
      </w:r>
      <w:r>
        <w:rPr>
          <w:rFonts w:ascii="Arial" w:hAnsi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/>
          <w:color w:val="202122"/>
          <w:sz w:val="17"/>
          <w:szCs w:val="17"/>
          <w:vertAlign w:val="superscript"/>
        </w:rPr>
        <w:instrText>HYPERLINK "https://ru.wikipedia.org/wiki/%D0%91%D0%A1%D0%91_%D0%91%D0%B0%D0%BD%D0%BA" \l "cite_note-2"</w:instrText>
      </w:r>
      <w:r>
        <w:rPr>
          <w:rFonts w:ascii="Arial" w:hAnsi="Arial"/>
          <w:color w:val="202122"/>
          <w:sz w:val="17"/>
          <w:szCs w:val="17"/>
          <w:vertAlign w:val="superscript"/>
        </w:rPr>
      </w:r>
      <w:r>
        <w:rPr>
          <w:rFonts w:ascii="Arial" w:hAnsi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/>
          <w:color w:val="0B0080"/>
          <w:sz w:val="17"/>
          <w:szCs w:val="17"/>
          <w:u w:val="none"/>
          <w:vertAlign w:val="superscript"/>
        </w:rPr>
        <w:t>[2]</w:t>
      </w:r>
      <w:r>
        <w:rPr>
          <w:rFonts w:ascii="Arial" w:hAnsi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>HYPERLINK "https://ru.wikipedia.org/wiki/%D0%91%D0%B5%D0%BB%D0%BE%D1%80%D1%83%D1%81%D1%81%D0%B8%D1%8F" \o "Белоруссия"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u w:val="none"/>
        </w:rPr>
        <w:t>белорусский</w:t>
      </w:r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коммерческий банк с 100% иностранным капиталом, основан 7 октября 2002 года.</w:t>
      </w:r>
    </w:p>
    <w:p w:rsidR="002D0253" w:rsidRDefault="002D025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2D0253" w:rsidRDefault="002D025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2D0253" w:rsidRDefault="008650C6">
      <w:pPr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</w:pPr>
      <w:r w:rsidRPr="008650C6">
        <w:rPr>
          <w:rFonts w:ascii="Arial" w:hAnsi="Arial"/>
          <w:color w:val="202122"/>
          <w:sz w:val="21"/>
          <w:szCs w:val="21"/>
          <w:highlight w:val="green"/>
          <w:shd w:val="clear" w:color="auto" w:fill="FFFFFF"/>
          <w:lang w:val="ru-RU"/>
        </w:rPr>
        <w:t>Слайд 3</w:t>
      </w:r>
      <w:r w:rsidRPr="008650C6">
        <w:rPr>
          <w:rFonts w:ascii="Arial" w:hAnsi="Arial"/>
          <w:color w:val="202122"/>
          <w:sz w:val="21"/>
          <w:szCs w:val="21"/>
          <w:highlight w:val="green"/>
          <w:shd w:val="clear" w:color="auto" w:fill="FFFFFF"/>
          <w:lang w:val="en-US"/>
        </w:rPr>
        <w:t>:</w:t>
      </w:r>
    </w:p>
    <w:p w:rsidR="008650C6" w:rsidRPr="008650C6" w:rsidRDefault="008650C6">
      <w:pPr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</w:pPr>
    </w:p>
    <w:p w:rsidR="002D0253" w:rsidRDefault="008650C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3313430"/>
            <wp:effectExtent l="0" t="0" r="0" b="1270"/>
            <wp:docPr id="196851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0257" name="Picture 1968510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C6" w:rsidRDefault="008650C6">
      <w:pPr>
        <w:rPr>
          <w:lang w:val="ru-RU"/>
        </w:rPr>
      </w:pPr>
    </w:p>
    <w:p w:rsidR="008650C6" w:rsidRDefault="008650C6">
      <w:pPr>
        <w:rPr>
          <w:lang w:val="ru-RU"/>
        </w:rPr>
      </w:pPr>
    </w:p>
    <w:p w:rsidR="001A2E5C" w:rsidRPr="0049333C" w:rsidRDefault="001A2E5C" w:rsidP="001A2E5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сравнении с конкурентами 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AlfaBank</w:t>
      </w:r>
      <w:proofErr w:type="spellEnd"/>
      <w:r w:rsidRPr="00EF3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 на рынке более 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лет. </w:t>
      </w:r>
      <w:r w:rsidRPr="0049333C">
        <w:rPr>
          <w:rFonts w:ascii="Times New Roman" w:hAnsi="Times New Roman" w:cs="Times New Roman"/>
          <w:sz w:val="28"/>
          <w:szCs w:val="28"/>
        </w:rPr>
        <w:t>Офисы компании расположены в Беларуси,</w:t>
      </w:r>
      <w:r>
        <w:rPr>
          <w:rFonts w:ascii="Times New Roman" w:hAnsi="Times New Roman" w:cs="Times New Roman"/>
          <w:sz w:val="28"/>
          <w:szCs w:val="28"/>
          <w:lang w:val="ru-RU"/>
        </w:rPr>
        <w:t>России,</w:t>
      </w:r>
      <w:r w:rsidRPr="001A2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222222"/>
        </w:rPr>
        <w:t>Казахстане</w:t>
      </w:r>
      <w:r w:rsidRPr="001A2E5C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Филиалы Альфа-Банка открыты в Великобритании и Голландии</w:t>
      </w:r>
      <w:r>
        <w:rPr>
          <w:rFonts w:ascii="Arial" w:hAnsi="Arial" w:cs="Arial"/>
          <w:color w:val="222222"/>
          <w:lang w:val="ru-RU"/>
        </w:rPr>
        <w:t>,</w:t>
      </w:r>
      <w:r w:rsidRPr="001A2E5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Инвестиционное отделение Альфа-Банка открыто в Лондоне, Великобритания</w:t>
      </w:r>
      <w:r w:rsidRPr="001A2E5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также есть филиалы в США</w:t>
      </w:r>
      <w:r w:rsidRPr="004933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сотрудников на в РБ составляет более </w:t>
      </w:r>
      <w:r>
        <w:rPr>
          <w:rFonts w:ascii="Times New Roman" w:hAnsi="Times New Roman" w:cs="Times New Roman"/>
          <w:sz w:val="28"/>
          <w:szCs w:val="28"/>
          <w:lang w:val="ru-RU"/>
        </w:rPr>
        <w:t>2300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человек. Компания находится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месте в ТОП-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компаний в РБ за 2023 год.</w:t>
      </w:r>
    </w:p>
    <w:p w:rsidR="001A2E5C" w:rsidRPr="00F15720" w:rsidRDefault="001A2E5C" w:rsidP="001A2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50C6" w:rsidRDefault="008650C6">
      <w:pPr>
        <w:rPr>
          <w:lang w:val="ru-RU"/>
        </w:rPr>
      </w:pPr>
    </w:p>
    <w:p w:rsidR="008650C6" w:rsidRDefault="008650C6">
      <w:pPr>
        <w:rPr>
          <w:lang w:val="ru-RU"/>
        </w:rPr>
      </w:pPr>
      <w:r w:rsidRPr="008650C6">
        <w:rPr>
          <w:highlight w:val="green"/>
          <w:lang w:val="ru-RU"/>
        </w:rPr>
        <w:t>Слайд 4:</w:t>
      </w:r>
    </w:p>
    <w:p w:rsidR="008650C6" w:rsidRDefault="008650C6">
      <w:pPr>
        <w:rPr>
          <w:b/>
          <w:bCs/>
          <w:lang w:val="ru-RU"/>
        </w:rPr>
      </w:pPr>
      <w:r w:rsidRPr="008650C6">
        <w:rPr>
          <w:b/>
          <w:bCs/>
          <w:lang w:val="ru-RU"/>
        </w:rPr>
        <w:t>Стратегии развития</w:t>
      </w:r>
    </w:p>
    <w:p w:rsidR="001A2E5C" w:rsidRDefault="001A2E5C">
      <w:pPr>
        <w:rPr>
          <w:b/>
          <w:bCs/>
          <w:lang w:val="ru-RU"/>
        </w:rPr>
      </w:pPr>
    </w:p>
    <w:p w:rsidR="001A2E5C" w:rsidRPr="001A2E5C" w:rsidRDefault="001A2E5C" w:rsidP="001A2E5C">
      <w:pPr>
        <w:numPr>
          <w:ilvl w:val="0"/>
          <w:numId w:val="1"/>
        </w:numPr>
      </w:pPr>
      <w:r w:rsidRPr="001A2E5C">
        <w:rPr>
          <w:lang w:val="ru-RU"/>
        </w:rPr>
        <w:t>Масштабирование Альфа-Выручки (</w:t>
      </w:r>
      <w:proofErr w:type="spellStart"/>
      <w:r w:rsidRPr="001A2E5C">
        <w:rPr>
          <w:lang w:val="ru-RU"/>
        </w:rPr>
        <w:t>самоинкассация</w:t>
      </w:r>
      <w:proofErr w:type="spellEnd"/>
      <w:r w:rsidRPr="001A2E5C">
        <w:rPr>
          <w:lang w:val="ru-RU"/>
        </w:rPr>
        <w:t xml:space="preserve"> наличной выручки клиентами через сеть устройств </w:t>
      </w:r>
      <w:proofErr w:type="spellStart"/>
      <w:r w:rsidRPr="001A2E5C">
        <w:rPr>
          <w:lang w:val="ru-RU"/>
        </w:rPr>
        <w:t>самоинкассации</w:t>
      </w:r>
      <w:proofErr w:type="spellEnd"/>
      <w:r w:rsidRPr="001A2E5C">
        <w:rPr>
          <w:lang w:val="ru-RU"/>
        </w:rPr>
        <w:t xml:space="preserve"> в режиме 24/7);</w:t>
      </w:r>
    </w:p>
    <w:p w:rsidR="001A2E5C" w:rsidRPr="001A2E5C" w:rsidRDefault="001A2E5C" w:rsidP="001A2E5C">
      <w:pPr>
        <w:numPr>
          <w:ilvl w:val="0"/>
          <w:numId w:val="1"/>
        </w:numPr>
      </w:pPr>
      <w:r w:rsidRPr="001A2E5C">
        <w:rPr>
          <w:lang w:val="ru-RU"/>
        </w:rPr>
        <w:t xml:space="preserve">Развитие торгового и интернет эквайринга (ранее эти продукты в банке отсутствовали и это являлось существенным барьером по заведению в банк выручки компаний розничной торговли); </w:t>
      </w:r>
    </w:p>
    <w:p w:rsidR="001A2E5C" w:rsidRPr="001A2E5C" w:rsidRDefault="001A2E5C" w:rsidP="001A2E5C">
      <w:pPr>
        <w:numPr>
          <w:ilvl w:val="0"/>
          <w:numId w:val="1"/>
        </w:numPr>
      </w:pPr>
      <w:r w:rsidRPr="001A2E5C">
        <w:rPr>
          <w:lang w:val="ru-RU"/>
        </w:rPr>
        <w:t xml:space="preserve">Развитие корпоративных пластиковых карт, что позволит компаниям не снимать заранее наличные денежные средства, а переводить их на </w:t>
      </w:r>
      <w:proofErr w:type="spellStart"/>
      <w:r w:rsidRPr="001A2E5C">
        <w:rPr>
          <w:lang w:val="ru-RU"/>
        </w:rPr>
        <w:t>корпокарты</w:t>
      </w:r>
      <w:proofErr w:type="spellEnd"/>
      <w:r w:rsidRPr="001A2E5C">
        <w:rPr>
          <w:lang w:val="ru-RU"/>
        </w:rPr>
        <w:t>, что, с одной стороны увеличит остатки на счетах компаний, а с другой, позволит банку замораживать меньше средств в кассе и банкоматах и получать больше транзакционных доходов.</w:t>
      </w:r>
    </w:p>
    <w:p w:rsidR="001A2E5C" w:rsidRPr="00436473" w:rsidRDefault="001A2E5C" w:rsidP="001A2E5C">
      <w:pPr>
        <w:numPr>
          <w:ilvl w:val="0"/>
          <w:numId w:val="1"/>
        </w:numPr>
      </w:pPr>
      <w:r w:rsidRPr="001A2E5C">
        <w:rPr>
          <w:lang w:val="ru-RU"/>
        </w:rPr>
        <w:t xml:space="preserve">Внедрение </w:t>
      </w:r>
      <w:proofErr w:type="gramStart"/>
      <w:r w:rsidRPr="001A2E5C">
        <w:rPr>
          <w:lang w:val="ru-RU"/>
        </w:rPr>
        <w:t>он-лайн</w:t>
      </w:r>
      <w:proofErr w:type="gramEnd"/>
      <w:r w:rsidRPr="001A2E5C">
        <w:rPr>
          <w:lang w:val="ru-RU"/>
        </w:rPr>
        <w:t xml:space="preserve"> продаж</w:t>
      </w:r>
    </w:p>
    <w:p w:rsidR="001A2E5C" w:rsidRDefault="001A2E5C" w:rsidP="00436473">
      <w:pPr>
        <w:rPr>
          <w:lang w:val="ru-RU"/>
        </w:rPr>
      </w:pPr>
    </w:p>
    <w:p w:rsidR="001A2E5C" w:rsidRPr="001A2E5C" w:rsidRDefault="001A2E5C" w:rsidP="00436473"/>
    <w:p w:rsidR="00436473" w:rsidRDefault="00436473" w:rsidP="00436473">
      <w:pPr>
        <w:rPr>
          <w:lang w:val="ru-RU"/>
        </w:rPr>
      </w:pPr>
      <w:r w:rsidRPr="008650C6">
        <w:rPr>
          <w:highlight w:val="green"/>
          <w:lang w:val="ru-RU"/>
        </w:rPr>
        <w:t xml:space="preserve">Слайд </w:t>
      </w:r>
      <w:r>
        <w:rPr>
          <w:highlight w:val="green"/>
          <w:lang w:val="ru-RU"/>
        </w:rPr>
        <w:t>5</w:t>
      </w:r>
      <w:r w:rsidRPr="008650C6">
        <w:rPr>
          <w:highlight w:val="green"/>
          <w:lang w:val="ru-RU"/>
        </w:rPr>
        <w:t>:</w:t>
      </w:r>
    </w:p>
    <w:p w:rsidR="00436473" w:rsidRDefault="00436473" w:rsidP="00436473">
      <w:pPr>
        <w:rPr>
          <w:b/>
          <w:bCs/>
          <w:lang w:val="ru-RU"/>
        </w:rPr>
      </w:pPr>
      <w:r w:rsidRPr="00436473">
        <w:rPr>
          <w:b/>
          <w:bCs/>
          <w:lang w:val="ru-RU"/>
        </w:rPr>
        <w:t>Финансовые аспекты стратегии</w:t>
      </w:r>
    </w:p>
    <w:p w:rsidR="00436473" w:rsidRDefault="00436473" w:rsidP="00436473">
      <w:pPr>
        <w:rPr>
          <w:b/>
          <w:bCs/>
          <w:lang w:val="ru-RU"/>
        </w:rPr>
      </w:pPr>
    </w:p>
    <w:p w:rsidR="00436473" w:rsidRPr="00436473" w:rsidRDefault="00436473" w:rsidP="00436473">
      <w:r w:rsidRPr="00436473">
        <w:rPr>
          <w:lang w:val="ru-RU"/>
        </w:rPr>
        <w:t xml:space="preserve">Прирост </w:t>
      </w:r>
      <w:r w:rsidRPr="00436473">
        <w:rPr>
          <w:b/>
          <w:bCs/>
          <w:lang w:val="ru-RU"/>
        </w:rPr>
        <w:t>активов</w:t>
      </w:r>
      <w:r w:rsidRPr="00436473">
        <w:rPr>
          <w:lang w:val="ru-RU"/>
        </w:rPr>
        <w:t xml:space="preserve"> за период с 2021 - 2023 гг. планируется на уровне +</w:t>
      </w:r>
      <w:r w:rsidRPr="00436473">
        <w:rPr>
          <w:b/>
          <w:bCs/>
          <w:lang w:val="ru-RU"/>
        </w:rPr>
        <w:t>67%</w:t>
      </w:r>
      <w:r w:rsidRPr="00436473">
        <w:rPr>
          <w:lang w:val="ru-RU"/>
        </w:rPr>
        <w:t>;</w:t>
      </w:r>
    </w:p>
    <w:p w:rsidR="00436473" w:rsidRPr="00436473" w:rsidRDefault="00436473" w:rsidP="00436473">
      <w:r w:rsidRPr="00436473">
        <w:rPr>
          <w:b/>
          <w:bCs/>
          <w:lang w:val="ru-RU"/>
        </w:rPr>
        <w:t xml:space="preserve">Кредитный портфель </w:t>
      </w:r>
      <w:r w:rsidRPr="00436473">
        <w:rPr>
          <w:lang w:val="ru-RU"/>
        </w:rPr>
        <w:t xml:space="preserve">по розничным и корпоративным клиентам Банка к 2023 должен прирасти </w:t>
      </w:r>
      <w:r w:rsidRPr="00436473">
        <w:rPr>
          <w:b/>
          <w:bCs/>
          <w:lang w:val="ru-RU"/>
        </w:rPr>
        <w:t xml:space="preserve">в 1,64 раза </w:t>
      </w:r>
      <w:r w:rsidRPr="00436473">
        <w:rPr>
          <w:lang w:val="ru-RU"/>
        </w:rPr>
        <w:t>к 2020 году;</w:t>
      </w:r>
    </w:p>
    <w:p w:rsidR="00436473" w:rsidRPr="00436473" w:rsidRDefault="00436473" w:rsidP="00436473">
      <w:r w:rsidRPr="00436473">
        <w:rPr>
          <w:lang w:val="ru-RU"/>
        </w:rPr>
        <w:t xml:space="preserve">Прирост </w:t>
      </w:r>
      <w:proofErr w:type="gramStart"/>
      <w:r w:rsidRPr="00436473">
        <w:rPr>
          <w:b/>
          <w:bCs/>
          <w:lang w:val="ru-RU"/>
        </w:rPr>
        <w:t>капитала</w:t>
      </w:r>
      <w:r w:rsidRPr="00436473">
        <w:rPr>
          <w:lang w:val="ru-RU"/>
        </w:rPr>
        <w:t xml:space="preserve">  ожидается</w:t>
      </w:r>
      <w:proofErr w:type="gramEnd"/>
      <w:r w:rsidRPr="00436473">
        <w:rPr>
          <w:lang w:val="ru-RU"/>
        </w:rPr>
        <w:t xml:space="preserve"> на уровне +</w:t>
      </w:r>
      <w:r w:rsidRPr="00436473">
        <w:rPr>
          <w:b/>
          <w:bCs/>
          <w:lang w:val="ru-RU"/>
        </w:rPr>
        <w:t>96%</w:t>
      </w:r>
      <w:r w:rsidRPr="00436473">
        <w:rPr>
          <w:lang w:val="ru-RU"/>
        </w:rPr>
        <w:t xml:space="preserve"> к 2020 году;</w:t>
      </w:r>
    </w:p>
    <w:p w:rsidR="00436473" w:rsidRPr="00436473" w:rsidRDefault="00436473" w:rsidP="00436473">
      <w:r w:rsidRPr="00436473">
        <w:rPr>
          <w:b/>
          <w:bCs/>
          <w:lang w:val="ru-RU"/>
        </w:rPr>
        <w:t xml:space="preserve">Нормативный капитал </w:t>
      </w:r>
      <w:r w:rsidRPr="00436473">
        <w:rPr>
          <w:lang w:val="ru-RU"/>
        </w:rPr>
        <w:t xml:space="preserve">на конец 2020 года ожидается на уровне </w:t>
      </w:r>
      <w:r w:rsidRPr="00436473">
        <w:rPr>
          <w:b/>
          <w:bCs/>
          <w:lang w:val="ru-RU"/>
        </w:rPr>
        <w:t>735 млн. рублей</w:t>
      </w:r>
      <w:r w:rsidRPr="00436473">
        <w:rPr>
          <w:lang w:val="ru-RU"/>
        </w:rPr>
        <w:t>;</w:t>
      </w:r>
    </w:p>
    <w:p w:rsidR="00436473" w:rsidRPr="00436473" w:rsidRDefault="00436473" w:rsidP="00436473">
      <w:r w:rsidRPr="00436473">
        <w:rPr>
          <w:b/>
          <w:bCs/>
          <w:lang w:val="ru-RU"/>
        </w:rPr>
        <w:t xml:space="preserve">Достаточность нормативного капитала </w:t>
      </w:r>
      <w:r w:rsidRPr="00436473">
        <w:rPr>
          <w:lang w:val="ru-RU"/>
        </w:rPr>
        <w:t xml:space="preserve">в 2021-2023 гг. прогнозируется на уровне </w:t>
      </w:r>
      <w:r w:rsidRPr="00436473">
        <w:rPr>
          <w:b/>
          <w:bCs/>
          <w:lang w:val="ru-RU"/>
        </w:rPr>
        <w:t>не менее 14,2%</w:t>
      </w:r>
      <w:r w:rsidRPr="00436473">
        <w:rPr>
          <w:lang w:val="ru-RU"/>
        </w:rPr>
        <w:t>.</w:t>
      </w:r>
    </w:p>
    <w:p w:rsidR="00436473" w:rsidRDefault="00436473" w:rsidP="00436473"/>
    <w:p w:rsidR="00CC766E" w:rsidRDefault="00CC766E" w:rsidP="00436473">
      <w:pPr>
        <w:rPr>
          <w:lang w:val="en-US"/>
        </w:rPr>
      </w:pPr>
      <w:r w:rsidRPr="00CC766E">
        <w:rPr>
          <w:highlight w:val="green"/>
          <w:lang w:val="ru-RU"/>
        </w:rPr>
        <w:t>Слайд 6</w:t>
      </w:r>
      <w:r w:rsidRPr="00CC766E">
        <w:rPr>
          <w:highlight w:val="green"/>
          <w:lang w:val="en-US"/>
        </w:rPr>
        <w:t>:</w:t>
      </w:r>
    </w:p>
    <w:p w:rsidR="00CC766E" w:rsidRDefault="00CC766E" w:rsidP="00436473">
      <w:pPr>
        <w:rPr>
          <w:lang w:val="en-US"/>
        </w:rPr>
      </w:pPr>
    </w:p>
    <w:p w:rsidR="009B74A5" w:rsidRDefault="009B74A5" w:rsidP="00436473">
      <w:pPr>
        <w:rPr>
          <w:lang w:val="en-US"/>
        </w:rPr>
      </w:pPr>
      <w:r w:rsidRPr="009B74A5">
        <w:rPr>
          <w:b/>
          <w:bCs/>
          <w:lang w:val="ru-RU"/>
        </w:rPr>
        <w:t>Участие банка в жизни белорусов</w:t>
      </w:r>
    </w:p>
    <w:p w:rsidR="009B74A5" w:rsidRDefault="009B74A5" w:rsidP="00436473">
      <w:pPr>
        <w:rPr>
          <w:lang w:val="en-US"/>
        </w:rPr>
      </w:pPr>
    </w:p>
    <w:p w:rsidR="009B74A5" w:rsidRPr="009B74A5" w:rsidRDefault="009B74A5" w:rsidP="009B74A5">
      <w:r w:rsidRPr="009B74A5">
        <w:rPr>
          <w:lang w:val="ru-RU"/>
        </w:rPr>
        <w:t>Банк направляет средства на различные мероприятия по поддержке белорусского спорта, культуры и другие социальные мероприятия.</w:t>
      </w:r>
    </w:p>
    <w:p w:rsidR="001A2E5C" w:rsidRDefault="001A2E5C">
      <w:pPr>
        <w:rPr>
          <w:lang w:val="ru-RU"/>
        </w:rPr>
      </w:pPr>
    </w:p>
    <w:p w:rsidR="00CC766E" w:rsidRDefault="00CC766E" w:rsidP="00CC766E">
      <w:pPr>
        <w:rPr>
          <w:lang w:val="ru-RU"/>
        </w:rPr>
      </w:pPr>
      <w:r w:rsidRPr="008650C6">
        <w:rPr>
          <w:highlight w:val="green"/>
          <w:lang w:val="ru-RU"/>
        </w:rPr>
        <w:t xml:space="preserve">Слайд </w:t>
      </w:r>
      <w:r>
        <w:rPr>
          <w:highlight w:val="green"/>
          <w:lang w:val="ru-RU"/>
        </w:rPr>
        <w:t>7</w:t>
      </w:r>
      <w:r w:rsidRPr="008650C6">
        <w:rPr>
          <w:highlight w:val="green"/>
          <w:lang w:val="ru-RU"/>
        </w:rPr>
        <w:t>:</w:t>
      </w:r>
    </w:p>
    <w:p w:rsidR="00CC766E" w:rsidRPr="00CC766E" w:rsidRDefault="00CC766E" w:rsidP="00CC766E">
      <w:proofErr w:type="spellStart"/>
      <w:r w:rsidRPr="00CC766E">
        <w:rPr>
          <w:lang w:val="en-GB"/>
        </w:rPr>
        <w:t>AlfaBank</w:t>
      </w:r>
      <w:proofErr w:type="spellEnd"/>
      <w:r w:rsidRPr="00CC766E">
        <w:rPr>
          <w:lang w:val="ru-RU"/>
        </w:rPr>
        <w:t xml:space="preserve"> - лидер с опытом более 24 лет на рынке. С офисами в разных странах, включая Великобританию и США, она имеет крупные планы развития. Стратегия включает в себя инновации в самообслуживании и пластиковых картах, что приведет к </w:t>
      </w:r>
      <w:r w:rsidRPr="00CC766E">
        <w:rPr>
          <w:lang w:val="ru-RU"/>
        </w:rPr>
        <w:lastRenderedPageBreak/>
        <w:t>увеличению активов и капитала компании на 67% и 96% соответственно. Нормативный капитал останется выше 14,2%, гарантируя надежность и устойчивость.</w:t>
      </w:r>
    </w:p>
    <w:p w:rsidR="00CC766E" w:rsidRPr="00436473" w:rsidRDefault="00CC766E">
      <w:pPr>
        <w:rPr>
          <w:lang w:val="ru-RU"/>
        </w:rPr>
      </w:pPr>
    </w:p>
    <w:sectPr w:rsidR="00CC766E" w:rsidRPr="0043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68BA"/>
    <w:multiLevelType w:val="hybridMultilevel"/>
    <w:tmpl w:val="E28A70B8"/>
    <w:lvl w:ilvl="0" w:tplc="CB840B5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4E80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6D5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C971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0118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2CE45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85BB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C23A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831E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747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53"/>
    <w:rsid w:val="001A2E5C"/>
    <w:rsid w:val="002D0253"/>
    <w:rsid w:val="00436473"/>
    <w:rsid w:val="008650C6"/>
    <w:rsid w:val="009B74A5"/>
    <w:rsid w:val="00C7702A"/>
    <w:rsid w:val="00C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3189A"/>
  <w15:chartTrackingRefBased/>
  <w15:docId w15:val="{FABB0C0C-672B-1645-9154-D595705F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2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02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8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1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3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1</cp:revision>
  <dcterms:created xsi:type="dcterms:W3CDTF">2023-10-10T18:04:00Z</dcterms:created>
  <dcterms:modified xsi:type="dcterms:W3CDTF">2023-10-11T06:50:00Z</dcterms:modified>
</cp:coreProperties>
</file>