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3"/>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one task-based study (study 4), 8 meta-analytic task-based activation patterns obtained from Neurosynth (study 5), and three additional resting state studies focusing on specific disease conditions. These include the </w:t>
      </w:r>
      <w:r>
        <w:t xml:space="preserve">ABIDE</w:t>
      </w:r>
      <w:r>
        <w:t xml:space="preserve"> (Autism Brain Imaging Data Exchange) study on Autism Spectrum Disorder (</w:t>
      </w:r>
      <w:r>
        <w:t xml:space="preserve">ASD</w:t>
      </w:r>
      <w:r>
        <w:t xml:space="preserve">, study 6, </w:t>
      </w:r>
      <w:r>
        <w:t xml:space="preserve">Di Martino </w:t>
      </w:r>
      <w:r>
        <w:rPr>
          <w:i/>
          <w:iCs/>
        </w:rPr>
        <w:t xml:space="preserve">et al.</w:t>
      </w:r>
      <w:r>
        <w:t xml:space="preserve"> (2014)</w:t>
      </w:r>
      <w:r>
        <w:t xml:space="preserve">), the COBRE (Center for Biomedical Research Excellence) study on Schizophrenia (study 8, </w:t>
      </w:r>
      <w:r>
        <w:t xml:space="preserve">(</w:t>
      </w:r>
      <w:r>
        <w:t xml:space="preserve">)</w:t>
      </w:r>
      <w:r>
        <w:t xml:space="preserve">) and data obtained from ADNI (Alzheimer’s Disease Neuroimaging Initiative database (</w:t>
      </w:r>
      <w:hyperlink w:history="1" r:id="rIdgsi6gsfxmut7xmcoiqw49">
        <w:r>
          <w:rPr>
            <w:rStyle w:val="Hyperlink"/>
          </w:rPr>
          <w:t xml:space="preserve">adni.loni.usc.edu</w:t>
        </w:r>
      </w:hyperlink>
      <w:r>
        <w:t xml:space="preserve">) on Alzheimer's Disease (study 7, </w:t>
      </w:r>
      <w:r>
        <w:t xml:space="preserve">(</w:t>
      </w:r>
      <w:r>
        <w:t xml:space="preserve">)</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sample size, mean age, gender distribution,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(Neurosynth)</w:t>
            </w:r>
          </w:p>
        </w:tc>
        <w:tc>
          <w:p>
            <w:r>
              <w:t xml:space="preserve">task-based</w:t>
            </w:r>
          </w:p>
        </w:tc>
        <w:tc>
          <w:p>
            <w:r>
              <w:t xml:space="preserve">coordinate-based meta-analyses</w:t>
            </w:r>
          </w:p>
        </w:tc>
        <w:tc>
          <w:p>
            <w:r>
              <w:t xml:space="preserve">14371 studies in total</w:t>
            </w:r>
          </w:p>
        </w:tc>
        <w:tc>
          <w:p/>
        </w:tc>
        <w:tc>
          <w:p/>
        </w:tc>
        <w:tc>
          <w:p>
            <w:r>
              <w:t xml:space="preserve">Yarkoni </w:t>
            </w:r>
            <w:r>
              <w:rPr>
                <w:i/>
                <w:iCs/>
              </w:rPr>
              <w:t xml:space="preserve">et al.</w:t>
            </w:r>
            <w:r>
              <w:t xml:space="preserve"> (2011)</w:t>
            </w:r>
          </w:p>
        </w:tc>
      </w:tr>
      <w:tr>
        <w:trPr>
          <w:tblHeader/>
        </w:trPr>
        <w:tc>
          <w:p>
            <w:r>
              <w:t xml:space="preserve">study 6 (Metaanalysis)</w:t>
            </w:r>
          </w:p>
        </w:tc>
        <w:tc>
          <w:p>
            <w:r>
              <w:t xml:space="preserve">task-based</w:t>
            </w:r>
          </w:p>
        </w:tc>
        <w:tc>
          <w:p>
            <w:r>
              <w:t xml:space="preserve">IPD meta-analysis pain map</w:t>
            </w:r>
          </w:p>
        </w:tc>
        <w:tc>
          <w:p>
            <w:r>
              <w:t xml:space="preserve">n=603 (20 studies)</w:t>
            </w:r>
          </w:p>
        </w:tc>
        <w:tc>
          <w:p/>
        </w:tc>
        <w:tc>
          <w:p/>
        </w:tc>
        <w:tc>
          <w:p>
            <w:r>
              <w:t xml:space="preserve">Zunhammer </w:t>
            </w:r>
            <w:r>
              <w:rPr>
                <w:i/>
                <w:iCs/>
              </w:rPr>
              <w:t xml:space="preserve">et al.</w:t>
            </w:r>
            <w:r>
              <w:t xml:space="preserve"> (2021)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(n=41) was used to evaluate the ability of the proposed approach to reconstruct resting state brain activity. Study 2 and 3 (n = 48 and 29, respectively) served es replications studies for these analyses.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8 runs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To obtain </w:t>
      </w:r>
      <w:r>
        <w:t xml:space="preserve">fMRI</w:t>
      </w:r>
      <w:r>
        <w:t xml:space="preserve"> activation maps for tasks other than pain, we used Neurosynth(</w:t>
      </w:r>
      <w:r>
        <w:t xml:space="preserve">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and obtained the z-scores maps from a two-way ANOVA, comparing the coordinates reported for studies with and without the term of interest, and testing for the presence of a non-zero association between term use and voxel activation. The meta-analyses encompassed a total  of 14371 different studies.</w:t>
      </w:r>
    </w:p>
    <w:p>
      <w:r>
        <w:t xml:space="preserve">In study 6 and 7 (</w:t>
      </w:r>
      <w:r>
        <w:t xml:space="preserve">ABIDE</w:t>
      </w:r>
      <w:r>
        <w:t xml:space="preserve">, COBRE respectively),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tnghj23ebhoz8v5zencem">
        <w:r>
          <w:rPr>
            <w:rStyle w:val="Hyperlink"/>
          </w:rPr>
          <w:t xml:space="preserve">https://​​osf​​.io​​/hc4md</w:t>
        </w:r>
      </w:hyperlink>
      <w:r>
        <w:t xml:space="preserve">) by </w:t>
      </w:r>
      <w:r>
        <w:t xml:space="preserve">Dadi </w:t>
      </w:r>
      <w:r>
        <w:rPr>
          <w:i/>
          <w:iCs/>
        </w:rPr>
        <w:t xml:space="preserve">et al.</w:t>
      </w:r>
      <w:r>
        <w:t xml:space="preserve"> (2019)</w:t>
      </w:r>
      <w:r>
        <w:t xml:space="preserve">. Preprocessed regional timeseries data for study 8 (ADNI) was obtained from from the Alzheimer’s Disease Neuroimaging Initiative database (</w:t>
      </w:r>
      <w:hyperlink w:history="1" r:id="rId9bz5garrdaqin1akjmrpz">
        <w:r>
          <w:rPr>
            <w:rStyle w:val="Hyperlink"/>
          </w:rPr>
          <w:t xml:space="preserve">adni.loni.usc.edu</w:t>
        </w:r>
      </w:hyperlink>
      <w:r>
        <w:t xml:space="preserve">). All preprocessed timeseries data were obtaoined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3"/>
      </w:pPr>
      <w:r>
        <w:t xml:space="preserve">Preprocessing and timeseries extractions</w:t>
      </w:r>
    </w:p>
    <w:p>
      <w:r>
        <w:t xml:space="preserve">Functional MRI data from studies 1-4 was preprocessed with our in-house analysis pipeline, called the RPN-pipeline (</w:t>
      </w:r>
      <w:hyperlink w:history="1" r:id="rIdjptics1yh_tw_4bai4rwb">
        <w:r>
          <w:rPr>
            <w:rStyle w:val="Hyperlink"/>
          </w:rPr>
          <w:t xml:space="preserve">https://​​github​​.com​​/spisakt​​/RPN​​-signature</w:t>
        </w:r>
      </w:hyperlink>
      <w:r>
        <w:t xml:space="preserve">). The RPN-pipeline is based on PUMI (Neuroimaging Pipelines Using Modular workflow Integration, </w:t>
      </w:r>
      <w:hyperlink w:history="1" r:id="rIdwnmt2svfkstdpkzas7qaf">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fast64. Anatomical images were linearly and non-linearly co-registered to the 1mm-resolution MNI152 standard brain template brain with ANTs (see </w:t>
      </w:r>
      <w:hyperlink w:history="1" r:id="rIdrk2s6t8hnr4wsmktr9mdu">
        <w:r>
          <w:rPr>
            <w:rStyle w:val="Hyperlink"/>
          </w:rPr>
          <w:t xml:space="preserve">https://​​gist​​.github​​.com​​/spisakt​​/0caa7ec4bc18d3ed736d3a4e49da7415</w:t>
        </w:r>
      </w:hyperlink>
      <w:r>
        <w:t xml:space="preserve"> for source code).</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derivates and the squared derivates (known as the Friston-24-expansion, </w:t>
      </w:r>
      <w:r>
        <w:t xml:space="preserve">Friston </w:t>
      </w:r>
      <w:r>
        <w:rPr>
          <w:i/>
          <w:iCs/>
        </w:rPr>
        <w:t xml:space="preserve">et al.</w:t>
      </w:r>
      <w:r>
        <w:t xml:space="preserve"> (1996)</w:t>
      </w:r>
      <w:r>
        <w:t xml:space="preserve">) was calculated and saved for nuisance correction.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 Hz frequency band. To further attenuate the impact of motion artifacts, potentially motion-contaminated time-frames, defined by a conservative FD &gt; 0.15 mm threshold, were dropped from the data (known as scrubbing, </w:t>
      </w:r>
      <w:r>
        <w:t xml:space="preserve">Satterthwaite </w:t>
      </w:r>
      <w:r>
        <w:rPr>
          <w:i/>
          <w:iCs/>
        </w:rPr>
        <w:t xml:space="preserve">et al.</w:t>
      </w:r>
      <w:r>
        <w:t xml:space="preserve"> (2013)</w:t>
      </w:r>
      <w:r>
        <w:t xml:space="preserve">). Participants were excluded from further analysis if more then 50% of frames were scrubbed.</w:t>
      </w:r>
    </w:p>
    <w:p>
      <w:r>
        <w:t xml:space="preserve">The 122-parcel version of the BASC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grey-matter voxels only. Voxel-timeseries were averaged over these individualized BASC regions.</w:t>
      </w:r>
    </w:p>
    <w:p>
      <w:pPr>
        <w:pStyle w:val="Heading3"/>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3"/>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w_{i,j}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r>
        <w:t xml:space="preserve">(</w:t>
      </w:r>
      <w:r>
        <w:t xml:space="preserve">1</w:t>
      </w:r>
      <w:r>
        <w:t xml:space="preserve">)</w:t>
      </w:r>
      <w:r>
        <w:t xml:space="preserve">, or in matrix form:</w:t>
      </w:r>
    </w:p>
    <w:p/>
    <w:p>
      <w:pPr>
        <w:tabs>
          <w:tab w:val="center" w:pos="4513"/>
          <w:tab w:val="right" w:pos="9026"/>
        </w:tabs>
      </w:pPr>
      <w:r>
        <w:t xml:space="preserve">	</w:t>
      </w:r>
      <m:oMath>
        <m:r>
          <m:t>\dot{\bold{a}} = S(\beta \bold{W} \bold{a} - \bold{b})</m:t>
        </m:r>
      </m:oMath>
      <w:r>
        <w:t xml:space="preserve">	(2)</w:t>
      </w:r>
    </w:p>
    <w:p/>
    <w:p>
      <w:r>
        <w:t xml:space="preserve">where </w:t>
      </w:r>
      <m:oMath>
        <m:r>
          <m:t>\dot{\bold{a}} = (\dot{a}_1, \dots, \dot{a}_m)</m:t>
        </m:r>
      </m:oMath>
      <w:r>
        <w:t xml:space="preserve"> is the activity in the next iteration and </w:t>
      </w:r>
      <m:oMath>
        <m:r>
          <m:t>S(.)</m:t>
        </m:r>
      </m:oMath>
      <w:r>
        <w:t xml:space="preserve"> is the sigmoidal activation function (</w:t>
      </w:r>
      <m:oMath>
        <m:r>
          <m:t>S(a) = tanh(a)</m:t>
        </m:r>
      </m:oMath>
      <w:r>
        <w:t xml:space="preserve"> in our implementation) and </w:t>
      </w:r>
      <m:oMath>
        <m:r>
          <m:t>\beta</m:t>
        </m:r>
      </m:oMath>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\dot{\bold{a}} = S(\beta \bold{W} \bold{a} - \bold{b}  + \epsilon),</m:t>
        </m:r>
      </m:oMath>
      <w:r>
        <w:t xml:space="preserve">	(3)</w:t>
      </w:r>
    </w:p>
    <w:p/>
    <w:p>
      <w:r>
        <w:t xml:space="preserve">where </w:t>
      </w:r>
      <m:oMath>
        <m:r>
          <m:t> \epsilon \sim \mathcal{N}(\mathbf{\mu}, \sigma)</m:t>
        </m:r>
      </m:oMath>
      <w:r>
        <w:t xml:space="preserve">, with </w:t>
      </w:r>
      <m:oMath>
        <m:r>
          <m:t>\sigma</m:t>
        </m:r>
      </m:oMath>
      <w:r>
        <w:t xml:space="preserve"> regulating the amount of noise added and </w:t>
      </w:r>
      <m:oMath>
        <m:r>
          <m:t>\mathbf{\mu}</m:t>
        </m:r>
      </m:oMath>
      <w:r>
        <w:t xml:space="preserve"> set to 0, by default.</w:t>
      </w:r>
    </w:p>
    <w:p>
      <w:r>
        <w:t xml:space="preserve">In this work we propose functional connectome-based Hopfield neural networks (fc</w:t>
      </w:r>
      <w:r>
        <w:t xml:space="preserve">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fc</w:t>
      </w:r>
      <w:r>
        <w:t xml:space="preserve">HNN</w:t>
      </w:r>
      <w:r>
        <w:t xml:space="preserve">s by repeate</w:t>
      </w:r>
      <w:r>
        <w:t xml:space="preserve">dl</w:t>
      </w:r>
      <w:r>
        <w:t xml:space="preserve">y (100000-times) initializing the fc</w:t>
      </w:r>
      <w:r>
        <w:t xml:space="preserve">HNN</w:t>
      </w:r>
      <w:r>
        <w:t xml:space="preserve"> with random activations and relaxing them until convergence.</w:t>
      </w:r>
    </w:p>
    <w:p>
      <w:pPr>
        <w:pStyle w:val="Heading3"/>
      </w:pPr>
      <w:r>
        <w:t xml:space="preserve">fc</w:t>
      </w:r>
      <w:r>
        <w:t xml:space="preserve">HNN</w:t>
      </w:r>
      <w:r>
        <w:t xml:space="preserve"> projection</w:t>
      </w:r>
    </w:p>
    <w:p>
      <w:r>
        <w:t xml:space="preserve">We mapped out the fc</w:t>
      </w:r>
      <w:r>
        <w:t xml:space="preserve">HNN</w:t>
      </w:r>
      <w:r>
        <w:t xml:space="preserve"> state-space by initializing our fc</w:t>
      </w:r>
      <w:r>
        <w:t xml:space="preserve">HNN</w:t>
      </w:r>
      <w:r>
        <w:t xml:space="preserve"> model with a random input, and applying the stochastic update step for 100.000 iterations and storing all visited activity configurations.
We performed a principal component analysis (PCA) on the state samples, and proposed the the first two principal  component (PCs) as the coordinate system for the fc</w:t>
      </w:r>
      <w:r>
        <w:t xml:space="preserve">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fc</w:t>
      </w:r>
      <w:r>
        <w:t xml:space="preserve">HNN</w:t>
      </w:r>
      <w:r>
        <w:t xml:space="preserve"> projections in study 1 with four different \sigma values (0.33, 0.35, 0.37, 0.39) and fixed </w:t>
      </w:r>
      <m:oMath>
        <m:r>
          <m:t>\sigma</m:t>
        </m:r>
      </m:oMath>
      <w:r>
        <w:t xml:space="preserve"> at 0.37 for all subsequent analyses. The value of </w:t>
      </w:r>
      <m:oMath>
        <m:r>
          <m:t>\sigma</m:t>
        </m:r>
      </m:oMath>
      <w:r>
        <w:t xml:space="preserve"> was selected based on visual inspection of the state space distribution and its similarity to real </w:t>
      </w:r>
      <w:r>
        <w:t xml:space="preserve">fMRI</w:t>
      </w:r>
      <w:r>
        <w:t xml:space="preserve"> data in the fc</w:t>
      </w:r>
      <w:r>
        <w:t xml:space="preserve">HNN</w:t>
      </w:r>
      <w:r>
        <w:t xml:space="preserve"> projection (see </w:t>
      </w:r>
      <w:r>
        <w:t xml:space="preserve">figure</w:t>
      </w:r>
      <w:r>
        <w:t xml:space="preserve">).</w:t>
      </w:r>
    </w:p>
    <w:p>
      <w:pPr>
        <w:pStyle w:val="Heading3"/>
      </w:pPr>
      <w:r>
        <w:t xml:space="preserve">Replicability</w:t>
      </w:r>
    </w:p>
    <w:p>
      <w:r>
        <w:t xml:space="preserve">We obtained the four attractor states in study 1, as described above. We then constructed two other fc</w:t>
      </w:r>
      <w:r>
        <w:t xml:space="preserve">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replications studies we found four attractor states. The spatial similarity of attractor states across studies was evaluated by Pearson's correlation coefficient.</w:t>
      </w:r>
    </w:p>
    <w:p>
      <w:pPr>
        <w:pStyle w:val="Heading3"/>
      </w:pPr>
      <w:r>
        <w:t xml:space="preserve">Evaluation: resting state dynamics</w:t>
      </w:r>
    </w:p>
    <w:p>
      <w:r>
        <w:t xml:space="preserve">Analogously to the methodology of the fc</w:t>
      </w:r>
      <w:r>
        <w:t xml:space="preserve">HNN</w:t>
      </w:r>
      <w:r>
        <w:t xml:space="preserve"> projection, we performed PCA on the preprocessed </w:t>
      </w:r>
      <w:r>
        <w:t xml:space="preserve">fMRI</w:t>
      </w:r>
      <w:r>
        <w:t xml:space="preserve"> time-frames from study 1 (based on the regional timeseries data).
To compare the explanatory power of the first two PCs derived from fc</w:t>
      </w:r>
      <w:r>
        <w:t xml:space="preserve">HNN</w:t>
      </w:r>
      <w:r>
        <w:t xml:space="preserve">-based simulated data and real </w:t>
      </w:r>
      <w:r>
        <w:t xml:space="preserve">fMRI</w:t>
      </w:r>
      <w:r>
        <w:t xml:space="preserve"> data, we fit linear regression models which used the first two fc</w:t>
      </w:r>
      <w:r>
        <w:t xml:space="preserve">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PCAs (fc</w:t>
      </w:r>
      <w:r>
        <w:t xml:space="preserve">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fc</w:t>
      </w:r>
      <w:r>
        <w:t xml:space="preserve">HNN</w:t>
      </w:r>
      <w:r>
        <w:t xml:space="preserve"> of study 1 and obtained the corresponding attractor state. We performed a </w:t>
      </w:r>
      <m:oMath>
        <m:r>
          <m:t>\tilde{\chi}^2</m:t>
        </m:r>
      </m:oMath>
      <w:r>
        <w:t xml:space="preserve"> test on the resulting frequencies against the expected uniform frequencies.</w:t>
      </w:r>
    </w:p>
    <w:p>
      <w:pPr>
        <w:pStyle w:val="Heading3"/>
      </w:pPr>
      <w:r>
        <w:t xml:space="preserve">Evaluation: task-based dynamics</w:t>
      </w:r>
    </w:p>
    <w:p>
      <w:r>
        <w:t xml:space="preserve">We used study 4 to evaluate the ability of the fc</w:t>
      </w:r>
      <w:r>
        <w:t xml:space="preserve">HNN</w:t>
      </w:r>
      <w:r>
        <w:t xml:space="preserve"> approach to capture and predict task-induced alterations in large-scale brain dynamics.</w:t>
      </w:r>
    </w:p>
    <w:p>
      <w:r>
        <w:t xml:space="preserve">First, runs 1, 3 and 7 from all participants, which investigated the passive experience and the down- and up-regulation of pain, respectively, was preprocessed with the same workflow used to preprocess studies 1-3. Regional timeseries data was grouped to "pain" and "rest" blocks, taking into account a 6-second delay to adjust for the hemodynamic response function. All activation timeframes were transformed to the fc</w:t>
      </w:r>
      <w:r>
        <w:t xml:space="preserve">HNN</w:t>
      </w:r>
      <w:r>
        <w:t xml:space="preserve"> projection plane obtained from study 1. Within-participant differences of the average location on the fc</w:t>
      </w:r>
      <w:r>
        <w:t xml:space="preserve">HNN</w:t>
      </w:r>
      <w:r>
        <w:t xml:space="preserve"> projection was calculated and visualized with radial plots, showing the participant-level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streamplots were generated that visualize the dynamic trajectory of group-level activations.</w:t>
      </w:r>
    </w:p>
    <w:p>
      <w:r>
        <w:t xml:space="preserve">First we calculated the direction in the projection plane between each successive TR during the rest conditions, resulting a vector on the fc</w:t>
      </w:r>
      <w:r>
        <w:t xml:space="preserve">HNN</w:t>
      </w:r>
      <w:r>
        <w:t xml:space="preserve"> projection plane for each TR transition.
Next, we obtained a two-dimensional binned means for both the x and y coordinates of these transition vectors (pooled across all participants), calculated over a total of 36 uniformly distributed bins.
The same procedure was repeated for the pain condition and the difference in direction between the two conditions was visualized as streamplots (using matplotlib).
We used the same approach the difference in characteristic state transition trajectories between the up- and downregulation conditions.</w:t>
      </w:r>
    </w:p>
    <w:p>
      <w:r>
        <w:t xml:space="preserve">The empirically estimated trajectory differences were contrasted to the trajectory differences predicted by the fc</w:t>
      </w:r>
      <w:r>
        <w:t xml:space="preserve">HNN</w:t>
      </w:r>
      <w:r>
        <w:t xml:space="preserve"> model from study 1.
To obtain fc</w:t>
      </w:r>
      <w:r>
        <w:t xml:space="preserve">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w:t>
      </w:r>
    </w:p>
    <w:p>
      <w:r>
        <w:t xml:space="preserve">To simulate the effect of pain-related activation on large-scale brain dynamics, we set </w:t>
      </w:r>
      <m:oMath>
        <m:r>
          <m:t>\mu_i</m:t>
        </m:r>
      </m:oMath>
      <w:r>
        <w:t xml:space="preserve"> during the stochastic relaxation procedure simulate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0.001 to 0.1, spaced logarithmically, to investigate various signal-to-noise scenarios.</w:t>
      </w:r>
    </w:p>
    <w:p>
      <w:r>
        <w:t xml:space="preserve">We obtained the activity patterns of 100000 iterations from this stochastic relaxation procedure and calculated the state transition trajectories with the same approach used with the empirical data.</w:t>
      </w:r>
    </w:p>
    <w:p>
      <w:r>
        <w:t xml:space="preserve">Next we calculated the the simulated difference between the rest and pain conditions and compared it to the actual difference through a permutation test with 1000 permutations, using the Spearman rank-ordered correlation coefficient as the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respectively.We did not optimize the signal-to-noise ratio for the nucleus accumbens signal but, instead, simply used the value optimized for the pain vs. rest contrast.</w:t>
      </w:r>
    </w:p>
    <w:p>
      <w:pPr>
        <w:pStyle w:val="Heading3"/>
      </w:pPr>
      <w:r>
        <w:t xml:space="preserve">Clinical data</w:t>
      </w:r>
    </w:p>
    <w:p>
      <w:r>
        <w:t xml:space="preserve">To demonstrate the sensitivity of the fc</w:t>
      </w:r>
      <w:r>
        <w:t xml:space="preserve">HNN</w:t>
      </w:r>
      <w:r>
        <w:t xml:space="preserve"> approach to clinically relevant alterations in large-scale brain dynamics, we investigated grouped the timeframes from the regional timeseries data according to the corresponding attractor states (obtained with the fc</w:t>
      </w:r>
      <w:r>
        <w:t xml:space="preserve">HNN</w:t>
      </w:r>
      <w:r>
        <w:t xml:space="preserve"> model from study 1) and averaged timeframes corresponding to the same attractor state to calculated participant-level mean attractor activations.
In all three datasets, we assessed mean attractor activity differences between the patient groups with a permutation test, randomly re-assigning the group labels 50000 times.
We adjusted the significance threshold with a bonferroni correction, accounting for tests across 4 states and 122 regions, resulting in </w:t>
      </w:r>
      <m:oMath>
        <m:r>
          <m:t>\alpha = 0.0001</m:t>
        </m:r>
      </m:oMath>
      <w:r>
        <w:t xml:space="preserve">.</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 W. T.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9ehezags4mjwfidjs7f8q">
        <w:r>
          <w:rPr>
            <w:rStyle w:val="Hyperlink"/>
          </w:rPr>
          <w:t xml:space="preserve">10.3389/conf.fninf.2011.08.00058</w:t>
        </w:r>
      </w:hyperlink>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ewsllsji5bb6ykbpadhjb">
        <w:r>
          <w:rPr>
            <w:rStyle w:val="Hyperlink"/>
          </w:rPr>
          <w:t xml:space="preserve">10.1038/s41467-019-13785-z</w:t>
        </w:r>
      </w:hyperlink>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fwz3q4orqnpmdqukbk5as">
        <w:r>
          <w:rPr>
            <w:rStyle w:val="Hyperlink"/>
          </w:rPr>
          <w:t xml:space="preserve">10.1371/journal.pbio.1002036</w:t>
        </w:r>
      </w:hyperlink>
    </w:p>
    <w:p>
      <w:r>
        <w:t xml:space="preserve">Yarkoni, T., Poldrack, R. A., Nichols, T. E., Essen, D. C. V.,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nxd0yv9qhmnh63p1br7w8">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3"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4"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5"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6"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gsi6gsfxmut7xmcoiqw49" Type="http://schemas.openxmlformats.org/officeDocument/2006/relationships/hyperlink" Target="http://adni.loni.usc.edu" TargetMode="External"/><Relationship Id="rIdtnghj23ebhoz8v5zencem" Type="http://schemas.openxmlformats.org/officeDocument/2006/relationships/hyperlink" Target="https://osf.io/hc4md" TargetMode="External"/><Relationship Id="rId9bz5garrdaqin1akjmrpz" Type="http://schemas.openxmlformats.org/officeDocument/2006/relationships/hyperlink" Target="http://adni.loni.usc.edu" TargetMode="External"/><Relationship Id="rIdjptics1yh_tw_4bai4rwb" Type="http://schemas.openxmlformats.org/officeDocument/2006/relationships/hyperlink" Target="https://github.com/spisakt/RPN-signature" TargetMode="External"/><Relationship Id="rIdwnmt2svfkstdpkzas7qaf" Type="http://schemas.openxmlformats.org/officeDocument/2006/relationships/hyperlink" Target="https://github.com/pni-lab/PUMI" TargetMode="External"/><Relationship Id="rIdrk2s6t8hnr4wsmktr9mdu" Type="http://schemas.openxmlformats.org/officeDocument/2006/relationships/hyperlink" Target="https://gist.github.com/spisakt/0caa7ec4bc18d3ed736d3a4e49da7415" TargetMode="External"/><Relationship Id="rId9ehezags4mjwfidjs7f8q" Type="http://schemas.openxmlformats.org/officeDocument/2006/relationships/hyperlink" Target="https://doi.org/10.3389/conf.fninf.2011.08.00058" TargetMode="External"/><Relationship Id="rIdewsllsji5bb6ykbpadhjb" Type="http://schemas.openxmlformats.org/officeDocument/2006/relationships/hyperlink" Target="https://doi.org/10.1038/s41467-019-13785-z" TargetMode="External"/><Relationship Id="rIdfwz3q4orqnpmdqukbk5as" Type="http://schemas.openxmlformats.org/officeDocument/2006/relationships/hyperlink" Target="https://doi.org/10.1371/journal.pbio.1002036" TargetMode="External"/><Relationship Id="rIdnxd0yv9qhmnh63p1br7w8" Type="http://schemas.openxmlformats.org/officeDocument/2006/relationships/hyperlink" Target="https://doi.org/10.1038/nmeth.1635" TargetMode="External"/></Relationships>
</file>

<file path=word/_rels/footer1.xml.rels><?xml version="1.0" encoding="UTF-8"?><Relationships xmlns="http://schemas.openxmlformats.org/package/2006/relationships"><Relationship Id="rId0" Type="http://schemas.openxmlformats.org/officeDocument/2006/relationships/image" Target="media/kicr344xjt1cs7mkmprzz.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2023-10-29T12:28:59.697Z</dcterms:created>
  <dcterms:modified xsi:type="dcterms:W3CDTF">2023-10-29T12:28:59.697Z</dcterms:modified>
</cp:coreProperties>
</file>

<file path=docProps/custom.xml><?xml version="1.0" encoding="utf-8"?>
<Properties xmlns="http://schemas.openxmlformats.org/officeDocument/2006/custom-properties" xmlns:vt="http://schemas.openxmlformats.org/officeDocument/2006/docPropsVTypes"/>
</file>