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an individual participant meta-analytic pain activation map of pain (study 5), 8 meta-analytic task-based activation patterns obtained from Neurosynth (study 6) and a resting state dataset focusing on </w:t>
      </w:r>
      <w:r>
        <w:t xml:space="preserve">ASD</w:t>
      </w:r>
      <w:r>
        <w:t xml:space="preserve"> from the </w:t>
      </w:r>
      <w:r>
        <w:t xml:space="preserve">ABIDE</w:t>
      </w:r>
      <w:r>
        <w:t xml:space="preserve"> (Autism Brain Imaging Data Exchange, study 6,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hhiyaqa1gu2q54dhjua4g">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4umcn3spchkcy_usa1ct5">
        <w:r>
          <w:rPr>
            <w:rStyle w:val="Hyperlink"/>
          </w:rPr>
          <w:t xml:space="preserve">https://​​github​​.com​​/spisakt​​/RPN​​-signature</w:t>
        </w:r>
      </w:hyperlink>
      <w:r>
        <w:t xml:space="preserve">). The RPN-pipeline is based on PUMI (Neuroimaging Pipelines Using Modular workflow Integration, </w:t>
      </w:r>
      <w:hyperlink w:history="1" r:id="rIdnyhf65c-qmfk_ca_bpk0i">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p3xswautznd_znl3zmr4p">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fc</w:t>
      </w:r>
      <w:r>
        <w:t xml:space="preserve">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fc</w:t>
      </w:r>
      <w:r>
        <w:t xml:space="preserve">HNN</w:t>
      </w:r>
      <w:r>
        <w:t xml:space="preserve">s of the two groups, and - similarly to the approach used in study 4 - we contrasted the fc</w:t>
      </w:r>
      <w:r>
        <w:t xml:space="preserve">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nmduazp56vne5xabbjfd9">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mv8i163iljepgqsfzrbeh">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a9qnz4tdjvzoyuttozva">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nlxgjkrlc8rtbohw8m8fx">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1"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hhiyaqa1gu2q54dhjua4g" Type="http://schemas.openxmlformats.org/officeDocument/2006/relationships/hyperlink" Target="https://osf.io/hc4md" TargetMode="External"/><Relationship Id="rId4umcn3spchkcy_usa1ct5" Type="http://schemas.openxmlformats.org/officeDocument/2006/relationships/hyperlink" Target="https://github.com/spisakt/RPN-signature" TargetMode="External"/><Relationship Id="rIdnyhf65c-qmfk_ca_bpk0i" Type="http://schemas.openxmlformats.org/officeDocument/2006/relationships/hyperlink" Target="https://github.com/pni-lab/PUMI" TargetMode="External"/><Relationship Id="rIdp3xswautznd_znl3zmr4p" Type="http://schemas.openxmlformats.org/officeDocument/2006/relationships/hyperlink" Target="https://gist.github.com/spisakt/0caa7ec4bc18d3ed736d3a4e49da7415" TargetMode="External"/><Relationship Id="rIdnmduazp56vne5xabbjfd9" Type="http://schemas.openxmlformats.org/officeDocument/2006/relationships/hyperlink" Target="https://doi.org/10.3389/conf.fninf.2011.08.00058" TargetMode="External"/><Relationship Id="rIdmv8i163iljepgqsfzrbeh" Type="http://schemas.openxmlformats.org/officeDocument/2006/relationships/hyperlink" Target="https://doi.org/10.1038/s41467-019-13785-z" TargetMode="External"/><Relationship Id="rId-a9qnz4tdjvzoyuttozva" Type="http://schemas.openxmlformats.org/officeDocument/2006/relationships/hyperlink" Target="https://doi.org/10.1371/journal.pbio.1002036" TargetMode="External"/><Relationship Id="rIdnlxgjkrlc8rtbohw8m8fx"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2023-11-01T12:25:45.087Z</dcterms:created>
  <dcterms:modified xsi:type="dcterms:W3CDTF">2023-11-01T12:25:45.087Z</dcterms:modified>
</cp:coreProperties>
</file>

<file path=docProps/custom.xml><?xml version="1.0" encoding="utf-8"?>
<Properties xmlns="http://schemas.openxmlformats.org/officeDocument/2006/custom-properties" xmlns:vt="http://schemas.openxmlformats.org/officeDocument/2006/docPropsVTypes"/>
</file>