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13th August 2025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693"/>
        <w:gridCol w:w="2693"/>
        <w:gridCol w:w="2410"/>
        <w:gridCol w:w="2410"/>
        <w:gridCol w:w="2155"/>
        <w:tblGridChange w:id="0">
          <w:tblGrid>
            <w:gridCol w:w="1266"/>
            <w:gridCol w:w="1418"/>
            <w:gridCol w:w="2693"/>
            <w:gridCol w:w="2693"/>
            <w:gridCol w:w="2410"/>
            <w:gridCol w:w="2410"/>
            <w:gridCol w:w="2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performance + Networking/Drinks)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Disability Representation in Arts and Media (90-minute session)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Sign Languages and Captioning in the Creative Industries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Monika Zabrocka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5eAGk3cp+mT5FPqaZPK6L0efg==">CgMxLjA4AHIhMV9La2dOVWFMaGd6OVhhTW45dl9NeEYwVUdCTW5relU1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2025-08-05T14:28:00Z</dcterms:created>
</cp:coreProperties>
</file>