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30nd June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6"/>
        <w:gridCol w:w="1665"/>
        <w:gridCol w:w="1665"/>
        <w:gridCol w:w="1665"/>
        <w:gridCol w:w="1665"/>
        <w:gridCol w:w="2130"/>
        <w:gridCol w:w="2225"/>
        <w:gridCol w:w="2034"/>
        <w:tblGridChange w:id="0">
          <w:tblGrid>
            <w:gridCol w:w="1996"/>
            <w:gridCol w:w="1665"/>
            <w:gridCol w:w="1665"/>
            <w:gridCol w:w="1665"/>
            <w:gridCol w:w="1665"/>
            <w:gridCol w:w="2130"/>
            <w:gridCol w:w="2225"/>
            <w:gridCol w:w="20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Freya Shaw: </w:t>
              <w:br w:type="textWrapping"/>
              <w:t xml:space="preserve">Hodr Engine: Enabling Blind Developers to Create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highlight w:val="white"/>
                <w:rtl w:val="0"/>
              </w:rPr>
              <w:t xml:space="preserve">Nature: Sensory: an introduction to creative audio description through multi-sensory exploration of the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Lansley: Reshaping Representation: Music, Accessibility, and the Power of Collaboration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Performance: Frequencies of Being: Sounding the Unspoken by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 followed by Networking/Drinks event)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(90-minute session)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aDzdTyFGVrKmxBn+EYi8i/PPg==">CgMxLjA4AHIhMXI5LThKTjN6QVFnWWpKTEZLbnJHOTlXcWVGcUFoek9O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2025-05-11T17:49:00Z</dcterms:created>
</cp:coreProperties>
</file>