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2nd June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6"/>
        <w:gridCol w:w="1665"/>
        <w:gridCol w:w="1665"/>
        <w:gridCol w:w="1665"/>
        <w:gridCol w:w="1665"/>
        <w:gridCol w:w="2130"/>
        <w:gridCol w:w="2225"/>
        <w:gridCol w:w="2034"/>
        <w:tblGridChange w:id="0">
          <w:tblGrid>
            <w:gridCol w:w="1996"/>
            <w:gridCol w:w="1665"/>
            <w:gridCol w:w="1665"/>
            <w:gridCol w:w="1665"/>
            <w:gridCol w:w="1665"/>
            <w:gridCol w:w="2130"/>
            <w:gridCol w:w="2225"/>
            <w:gridCol w:w="20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Lansley: Reshaping Representation: Music, Accessibility, and the Power of 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-Angela Tiziana Tarantini: Patterns of Performativity: Strategies by Sign Language Interpreter-Performers to Translate Music into Sign Language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(90-minute session)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KkDAnwDeLfIWMU5LZSpHKgCsg==">CgMxLjA4AHIhMTNJeVF6a2szVkxOV1Z5aldremltRG04a29MdGI1a0lC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2025-05-11T17:49:00Z</dcterms:created>
</cp:coreProperties>
</file>