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16th August 2025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693"/>
        <w:gridCol w:w="2693"/>
        <w:gridCol w:w="2410"/>
        <w:gridCol w:w="2410"/>
        <w:gridCol w:w="2155"/>
        <w:tblGridChange w:id="0">
          <w:tblGrid>
            <w:gridCol w:w="1266"/>
            <w:gridCol w:w="1418"/>
            <w:gridCol w:w="2693"/>
            <w:gridCol w:w="2693"/>
            <w:gridCol w:w="2410"/>
            <w:gridCol w:w="2410"/>
            <w:gridCol w:w="2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performance + Networking/Drinks)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Disability Representation in Arts and Media (90-minute session)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Sign Languages and Captioning in the Creative Industries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Monika Zabrocka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Edge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5eAGk3cp+mT5FPqaZPK6L0efg==">CgMxLjA4AHIhMV9La2dOVWFMaGd6OVhhTW45dl9NeEYwVUdCTW5relU1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2025-08-05T14:28:00Z</dcterms:created>
</cp:coreProperties>
</file>