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V4 (updated on 27 May)</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pPr>
      <w:bookmarkStart w:colFirst="0" w:colLast="0" w:name="_vp4jaor5e5j7" w:id="4"/>
      <w:bookmarkEnd w:id="4"/>
      <w:r w:rsidDel="00000000" w:rsidR="00000000" w:rsidRPr="00000000">
        <w:rPr>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x44p8bw5ksea"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pPr>
      <w:bookmarkStart w:colFirst="0" w:colLast="0" w:name="_5awsrd2eblor" w:id="6"/>
      <w:bookmarkEnd w:id="6"/>
      <w:r w:rsidDel="00000000" w:rsidR="00000000" w:rsidRPr="00000000">
        <w:rPr>
          <w:rtl w:val="0"/>
        </w:rPr>
      </w:r>
    </w:p>
    <w:p w:rsidR="00000000" w:rsidDel="00000000" w:rsidP="00000000" w:rsidRDefault="00000000" w:rsidRPr="00000000" w14:paraId="00000020">
      <w:pPr>
        <w:pStyle w:val="Heading3"/>
        <w:rPr/>
      </w:pPr>
      <w:bookmarkStart w:colFirst="0" w:colLast="0" w:name="_wzwrd1l4m8ra" w:id="7"/>
      <w:bookmarkEnd w:id="7"/>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What Will You Learn in This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3">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4">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5">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6">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7">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8">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9">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3A">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color w:val="1155cc"/>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5">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6">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7">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4C">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4D">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Descripción del taller: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¿Qué aprenderás con este curso?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5E">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5F">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0">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color w:val="1155cc"/>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p w:rsidR="00000000" w:rsidDel="00000000" w:rsidP="00000000" w:rsidRDefault="00000000" w:rsidRPr="00000000" w14:paraId="00000067">
      <w:pPr>
        <w:pStyle w:val="Heading2"/>
        <w:rPr/>
      </w:pPr>
      <w:bookmarkStart w:colFirst="0" w:colLast="0" w:name="_6st3tpo5gd1q"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6i9bngygiy63" w:id="9"/>
      <w:bookmarkEnd w:id="9"/>
      <w:r w:rsidDel="00000000" w:rsidR="00000000" w:rsidRPr="00000000">
        <w:rPr>
          <w:rtl w:val="0"/>
        </w:rPr>
        <w:t xml:space="preserve">Afternoon 14:30–17:30</w:t>
      </w:r>
    </w:p>
    <w:p w:rsidR="00000000" w:rsidDel="00000000" w:rsidP="00000000" w:rsidRDefault="00000000" w:rsidRPr="00000000" w14:paraId="00000069">
      <w:pPr>
        <w:pStyle w:val="Heading3"/>
        <w:rPr/>
      </w:pPr>
      <w:bookmarkStart w:colFirst="0" w:colLast="0" w:name="_c175bd94soib" w:id="10"/>
      <w:bookmarkEnd w:id="10"/>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color w:val="000000"/>
          <w:sz w:val="22"/>
          <w:szCs w:val="22"/>
        </w:rPr>
      </w:pPr>
      <w:bookmarkStart w:colFirst="0" w:colLast="0" w:name="_1l4r30q7kcnr" w:id="11"/>
      <w:bookmarkEnd w:id="11"/>
      <w:r w:rsidDel="00000000" w:rsidR="00000000" w:rsidRPr="00000000">
        <w:rPr>
          <w:color w:val="000000"/>
          <w:sz w:val="22"/>
          <w:szCs w:val="22"/>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6E">
      <w:pPr>
        <w:pStyle w:val="Heading3"/>
        <w:rPr/>
      </w:pPr>
      <w:bookmarkStart w:colFirst="0" w:colLast="0" w:name="_dfonpe14s3p6" w:id="12"/>
      <w:bookmarkEnd w:id="12"/>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rPr/>
      </w:pPr>
      <w:bookmarkStart w:colFirst="0" w:colLast="0" w:name="_oyfrj5crvgi5" w:id="13"/>
      <w:bookmarkEnd w:id="13"/>
      <w:r w:rsidDel="00000000" w:rsidR="00000000" w:rsidRPr="00000000">
        <w:rPr>
          <w:rtl w:val="0"/>
        </w:rPr>
      </w:r>
    </w:p>
    <w:p w:rsidR="00000000" w:rsidDel="00000000" w:rsidP="00000000" w:rsidRDefault="00000000" w:rsidRPr="00000000" w14:paraId="00000070">
      <w:pPr>
        <w:pStyle w:val="Heading3"/>
        <w:rPr/>
      </w:pPr>
      <w:bookmarkStart w:colFirst="0" w:colLast="0" w:name="_gdfc8oeczwcl" w:id="14"/>
      <w:bookmarkEnd w:id="14"/>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73">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74">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75">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76">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77">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78">
      <w:pPr>
        <w:rPr/>
      </w:pPr>
      <w:r w:rsidDel="00000000" w:rsidR="00000000" w:rsidRPr="00000000">
        <w:rPr>
          <w:rtl w:val="0"/>
        </w:rPr>
        <w:t xml:space="preserve">music-making in diverse settings.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7B">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7C">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7D">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7E">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7F">
      <w:pPr>
        <w:rPr/>
      </w:pPr>
      <w:r w:rsidDel="00000000" w:rsidR="00000000" w:rsidRPr="00000000">
        <w:rPr>
          <w:rtl w:val="0"/>
        </w:rPr>
        <w:t xml:space="preserve">practice in ongoing.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82">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83">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84">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85">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86">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87">
      <w:pPr>
        <w:rPr/>
      </w:pPr>
      <w:r w:rsidDel="00000000" w:rsidR="00000000" w:rsidRPr="00000000">
        <w:rPr>
          <w:rtl w:val="0"/>
        </w:rPr>
        <w:t xml:space="preserve">performers of all abilities.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8A">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8B">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Key Organisations: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92">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93">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94">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95">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96">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97">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98">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99">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9C">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9D">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9E">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9F">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A0">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A1">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A2">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https://www.timemusicuk.org/cpd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A9">
      <w:pPr>
        <w:rPr/>
      </w:pPr>
      <w:r w:rsidDel="00000000" w:rsidR="00000000" w:rsidRPr="00000000">
        <w:rPr>
          <w:rtl w:val="0"/>
        </w:rPr>
        <w:t xml:space="preserve">members, performers, professionals and volunteers.</w:t>
      </w:r>
    </w:p>
    <w:p w:rsidR="00000000" w:rsidDel="00000000" w:rsidP="00000000" w:rsidRDefault="00000000" w:rsidRPr="00000000" w14:paraId="000000AA">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AB">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AC">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AD">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AE">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AF">
      <w:pPr>
        <w:rPr/>
      </w:pPr>
      <w:r w:rsidDel="00000000" w:rsidR="00000000" w:rsidRPr="00000000">
        <w:rPr>
          <w:rtl w:val="0"/>
        </w:rPr>
        <w:t xml:space="preserve">bodies. Through our work: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Disabled people lead the change.</w:t>
      </w:r>
    </w:p>
    <w:p w:rsidR="00000000" w:rsidDel="00000000" w:rsidP="00000000" w:rsidRDefault="00000000" w:rsidRPr="00000000" w14:paraId="000000B2">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B3">
      <w:pPr>
        <w:rPr/>
      </w:pPr>
      <w:r w:rsidDel="00000000" w:rsidR="00000000" w:rsidRPr="00000000">
        <w:rPr>
          <w:rtl w:val="0"/>
        </w:rPr>
        <w:t xml:space="preserve">• Barriers are identified and removed.</w:t>
      </w:r>
    </w:p>
    <w:p w:rsidR="00000000" w:rsidDel="00000000" w:rsidP="00000000" w:rsidRDefault="00000000" w:rsidRPr="00000000" w14:paraId="000000B4">
      <w:pPr>
        <w:rPr/>
      </w:pPr>
      <w:r w:rsidDel="00000000" w:rsidR="00000000" w:rsidRPr="00000000">
        <w:rPr>
          <w:rtl w:val="0"/>
        </w:rPr>
        <w:t xml:space="preserve">• Best practice is celebrated and rewarded.</w:t>
      </w:r>
    </w:p>
    <w:p w:rsidR="00000000" w:rsidDel="00000000" w:rsidP="00000000" w:rsidRDefault="00000000" w:rsidRPr="00000000" w14:paraId="000000B5">
      <w:pPr>
        <w:rPr/>
      </w:pPr>
      <w:r w:rsidDel="00000000" w:rsidR="00000000" w:rsidRPr="00000000">
        <w:rPr>
          <w:rtl w:val="0"/>
        </w:rPr>
        <w:t xml:space="preserve">• More disabled people play their part.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B8">
      <w:pPr>
        <w:rPr/>
      </w:pPr>
      <w:r w:rsidDel="00000000" w:rsidR="00000000" w:rsidRPr="00000000">
        <w:rPr>
          <w:rtl w:val="0"/>
        </w:rPr>
        <w:t xml:space="preserve">commercial sectors as well as disabled people.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https://attitudeiseverything.org.uk</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BF">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C0">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C1">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C2">
      <w:pPr>
        <w:rPr/>
      </w:pPr>
      <w:r w:rsidDel="00000000" w:rsidR="00000000" w:rsidRPr="00000000">
        <w:rPr>
          <w:rtl w:val="0"/>
        </w:rPr>
        <w:t xml:space="preserve">down disabling barriers to making music.</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C5">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C6">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C7">
      <w:pPr>
        <w:rPr/>
      </w:pPr>
      <w:r w:rsidDel="00000000" w:rsidR="00000000" w:rsidRPr="00000000">
        <w:rPr>
          <w:rtl w:val="0"/>
        </w:rPr>
        <w:t xml:space="preserve">lessons to professional Disabled musicians.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They work where music, disability and technology meet to:</w:t>
        <w:br w:type="textWrapp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CB">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CC">
      <w:pPr>
        <w:rPr/>
      </w:pPr>
      <w:r w:rsidDel="00000000" w:rsidR="00000000" w:rsidRPr="00000000">
        <w:rPr>
          <w:rtl w:val="0"/>
        </w:rPr>
        <w:t xml:space="preserve">work together as equals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CF">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D0">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D1">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D2">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D3">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For more information please contact andrew@andrewlansley.org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