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
        <w:jc w:val="left"/>
        <w:rPr>
          <w:b/>
          <w:b/>
          <w:color w:val="FF0000"/>
        </w:rPr>
      </w:pPr>
      <w:r>
        <w:rPr/>
        <w:drawing>
          <wp:inline distT="0" distB="0" distL="0" distR="0">
            <wp:extent cx="2800350" cy="40005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800350" cy="400050"/>
                    </a:xfrm>
                    <a:prstGeom prst="rect">
                      <a:avLst/>
                    </a:prstGeom>
                  </pic:spPr>
                </pic:pic>
              </a:graphicData>
            </a:graphic>
          </wp:inline>
        </w:drawing>
      </w:r>
    </w:p>
    <w:p>
      <w:pPr>
        <w:pStyle w:val="Normal"/>
        <w:rPr>
          <w:b/>
          <w:b/>
          <w:color w:val="FF0000"/>
        </w:rPr>
      </w:pPr>
      <w:r>
        <w:rPr>
          <w:b/>
          <w:color w:val="FF0000"/>
        </w:rPr>
      </w:r>
    </w:p>
    <w:p>
      <w:pPr>
        <w:pStyle w:val="Normal"/>
        <w:rPr>
          <w:b/>
          <w:b/>
          <w:color w:val="FF0000"/>
        </w:rPr>
      </w:pPr>
      <w:r>
        <w:rPr>
          <w:b/>
          <w:color w:val="FF0000"/>
        </w:rPr>
      </w:r>
    </w:p>
    <w:p>
      <w:pPr>
        <w:pStyle w:val="Normal"/>
        <w:rPr>
          <w:color w:val="FF0000"/>
        </w:rPr>
      </w:pPr>
      <w:commentRangeStart w:id="0"/>
      <w:r>
        <w:rPr>
          <w:b/>
          <w:color w:val="FF0000"/>
        </w:rPr>
        <w:t>Course Title</w:t>
      </w:r>
    </w:p>
    <w:p>
      <w:pPr>
        <w:pStyle w:val="Normal"/>
        <w:rPr>
          <w:b/>
          <w:b/>
          <w:color w:val="FF0000"/>
        </w:rPr>
      </w:pPr>
      <w:r>
        <w:rPr>
          <w:b/>
          <w:color w:val="FF0000"/>
        </w:rPr>
      </w:r>
    </w:p>
    <w:p>
      <w:pPr>
        <w:pStyle w:val="Title"/>
        <w:rPr>
          <w:color w:val="000000"/>
        </w:rPr>
      </w:pPr>
      <w:r>
        <w:rPr>
          <w:color w:val="000000"/>
        </w:rPr>
        <w:t>Numerical Analysis</w:t>
      </w:r>
    </w:p>
    <w:p>
      <w:pPr>
        <w:pStyle w:val="Subtitle"/>
        <w:rPr>
          <w:color w:val="FF0000"/>
        </w:rPr>
      </w:pPr>
      <w:r>
        <w:rPr/>
      </w:r>
    </w:p>
    <w:p>
      <w:pPr>
        <w:pStyle w:val="Heading2"/>
        <w:rPr>
          <w:color w:val="FF0000"/>
        </w:rPr>
      </w:pPr>
      <w:r>
        <w:rPr>
          <w:color w:val="FF0000"/>
        </w:rPr>
        <w:t xml:space="preserve">Course Number </w:t>
      </w:r>
    </w:p>
    <w:p>
      <w:pPr>
        <w:pStyle w:val="Normal"/>
        <w:spacing w:before="0" w:after="480"/>
        <w:rPr>
          <w:color w:val="FF0000"/>
        </w:rPr>
      </w:pPr>
      <w:r>
        <w:rPr>
          <w:color w:val="FF0000"/>
        </w:rPr>
        <w:t>[Enter course code]</w:t>
      </w:r>
      <w:commentRangeEnd w:id="0"/>
      <w:r>
        <w:commentReference w:id="0"/>
      </w:r>
      <w:r>
        <w:rPr>
          <w:color w:val="FF0000"/>
        </w:rPr>
      </w:r>
    </w:p>
    <w:p>
      <w:pPr>
        <w:pStyle w:val="Heading2"/>
        <w:spacing w:before="480" w:after="480"/>
        <w:rPr>
          <w:b w:val="false"/>
          <w:b w:val="false"/>
        </w:rPr>
      </w:pPr>
      <w:bookmarkStart w:id="0" w:name="_1gbbrrqb6gev"/>
      <w:bookmarkEnd w:id="0"/>
      <w:r>
        <w:rPr>
          <w:color w:val="FF0000"/>
        </w:rPr>
        <w:t>Instruction Mode</w:t>
      </w:r>
      <w:r>
        <w:rPr/>
        <w:t>: Blended/Remote/In-person</w:t>
      </w:r>
    </w:p>
    <w:p>
      <w:pPr>
        <w:pStyle w:val="Heading1"/>
        <w:rPr/>
      </w:pPr>
      <w:bookmarkStart w:id="1" w:name="_gjdgxs"/>
      <w:bookmarkEnd w:id="1"/>
      <w:r>
        <w:rPr/>
        <w:t>Spring 2022</w:t>
      </w:r>
    </w:p>
    <w:p>
      <w:pPr>
        <w:pStyle w:val="Normal"/>
        <w:rPr/>
      </w:pPr>
      <w:r>
        <w:rPr/>
      </w:r>
    </w:p>
    <w:p>
      <w:pPr>
        <w:pStyle w:val="Normal"/>
        <w:spacing w:lineRule="auto" w:line="276"/>
        <w:rPr>
          <w:highlight w:val="white"/>
        </w:rPr>
      </w:pPr>
      <w:r>
        <w:rPr>
          <w:highlight w:val="white"/>
        </w:rPr>
        <w:t xml:space="preserve">If you are enrolled in this course 100% remotely and are not a Go Local/Study Away student for NYU </w:t>
      </w:r>
      <w:r>
        <w:rPr>
          <w:highlight w:val="white"/>
        </w:rPr>
        <w:t>Paris</w:t>
      </w:r>
      <w:r>
        <w:rPr>
          <w:highlight w:val="white"/>
        </w:rPr>
        <w:t xml:space="preserve">, please make sure that you’ve completed the online academic orientation via Brightspace so you are aware of site specific support structure, policies and procedures. Please contact nyu.paris.academics@nyu.edu if you have trouble accessing the Brightspace site. </w:t>
      </w:r>
    </w:p>
    <w:p>
      <w:pPr>
        <w:pStyle w:val="Normal"/>
        <w:spacing w:lineRule="auto" w:line="276"/>
        <w:jc w:val="left"/>
        <w:rPr>
          <w:highlight w:val="yellow"/>
        </w:rPr>
      </w:pPr>
      <w:r>
        <w:rPr>
          <w:highlight w:val="yellow"/>
        </w:rPr>
      </w:r>
    </w:p>
    <w:p>
      <w:pPr>
        <w:pStyle w:val="Normal"/>
        <w:rPr/>
      </w:pPr>
      <w:r>
        <w:rPr>
          <w:b/>
          <w:color w:val="FF0000"/>
        </w:rPr>
        <w:t>Syllabus last updated on</w:t>
      </w:r>
      <w:r>
        <w:rPr>
          <w:b/>
        </w:rPr>
        <w:t>:</w:t>
      </w:r>
      <w:r>
        <w:rPr/>
        <w:t xml:space="preserve"> </w:t>
      </w:r>
      <w:r>
        <w:rPr/>
        <w:t>14 Jan 2022</w:t>
      </w:r>
    </w:p>
    <w:p>
      <w:pPr>
        <w:pStyle w:val="Heading2"/>
        <w:rPr>
          <w:color w:val="FF0000"/>
        </w:rPr>
      </w:pPr>
      <w:r>
        <w:rPr>
          <w:color w:val="FF0000"/>
        </w:rPr>
        <w:t>Lecturer Contact Information</w:t>
      </w:r>
    </w:p>
    <w:p>
      <w:pPr>
        <w:pStyle w:val="Normal"/>
        <w:rPr/>
      </w:pPr>
      <w:r>
        <w:rPr/>
        <w:t>Urbain VAES</w:t>
      </w:r>
    </w:p>
    <w:p>
      <w:pPr>
        <w:pStyle w:val="Normal"/>
        <w:rPr/>
      </w:pPr>
      <w:r>
        <w:rPr/>
        <w:t>urbain.vaes@nyu.edu</w:t>
      </w:r>
    </w:p>
    <w:p>
      <w:pPr>
        <w:pStyle w:val="Normal"/>
        <w:rPr>
          <w:b/>
          <w:b/>
          <w:color w:val="FF0000"/>
          <w:highlight w:val="white"/>
        </w:rPr>
      </w:pPr>
      <w:r>
        <w:rPr/>
        <w:t>Office hours: TBD</w:t>
      </w:r>
    </w:p>
    <w:p>
      <w:pPr>
        <w:pStyle w:val="Heading2"/>
        <w:rPr>
          <w:color w:val="FF0000"/>
        </w:rPr>
      </w:pPr>
      <w:r>
        <w:rPr>
          <w:color w:val="FF0000"/>
        </w:rPr>
        <w:t>Prerequisites</w:t>
      </w:r>
    </w:p>
    <w:p>
      <w:pPr>
        <w:pStyle w:val="Normal"/>
        <w:rPr>
          <w:color w:val="000000"/>
        </w:rPr>
      </w:pPr>
      <w:r>
        <w:rPr>
          <w:color w:val="000000"/>
        </w:rPr>
        <w:t>The course assumes a basic knowledge of linear algebra and calculus. Prior programming experience in Julia, Python or a similar language is desirable but not required.</w:t>
      </w:r>
    </w:p>
    <w:p>
      <w:pPr>
        <w:pStyle w:val="Heading2"/>
        <w:rPr>
          <w:color w:val="FF0000"/>
        </w:rPr>
      </w:pPr>
      <w:bookmarkStart w:id="2" w:name="_mmjwbt27yyrl"/>
      <w:bookmarkEnd w:id="2"/>
      <w:r>
        <w:rPr>
          <w:color w:val="FF0000"/>
        </w:rPr>
        <w:t>Units earned</w:t>
      </w:r>
    </w:p>
    <w:p>
      <w:pPr>
        <w:pStyle w:val="Normal"/>
        <w:rPr>
          <w:color w:val="FF0000"/>
        </w:rPr>
      </w:pPr>
      <w:r>
        <w:rPr>
          <w:color w:val="FF0000"/>
        </w:rPr>
        <w:t>[Enter credits earned - 3, 4 or 6]</w:t>
      </w:r>
    </w:p>
    <w:p>
      <w:pPr>
        <w:pStyle w:val="Heading2"/>
        <w:rPr>
          <w:color w:val="FF0000"/>
        </w:rPr>
      </w:pPr>
      <w:r>
        <w:rPr>
          <w:color w:val="FF0000"/>
        </w:rPr>
        <w:t>Course Details</w:t>
      </w:r>
    </w:p>
    <w:p>
      <w:pPr>
        <w:pStyle w:val="Normal"/>
        <w:numPr>
          <w:ilvl w:val="0"/>
          <w:numId w:val="1"/>
        </w:numPr>
        <w:rPr/>
      </w:pPr>
      <w:r>
        <w:rPr/>
        <w:t xml:space="preserve">[Enter class meeting day/time - please give time in the following format: 11:00am to 1:00pm] </w:t>
      </w:r>
    </w:p>
    <w:p>
      <w:pPr>
        <w:pStyle w:val="Normal"/>
        <w:numPr>
          <w:ilvl w:val="0"/>
          <w:numId w:val="1"/>
        </w:numPr>
        <w:rPr/>
      </w:pPr>
      <w:r>
        <w:rPr/>
        <w:t>All times are [Time Zone] (Daylight Saving Time ends [Date]).</w:t>
      </w:r>
    </w:p>
    <w:p>
      <w:pPr>
        <w:pStyle w:val="Normal"/>
        <w:rPr/>
      </w:pPr>
      <w:r>
        <w:rPr/>
      </w:r>
    </w:p>
    <w:p>
      <w:pPr>
        <w:pStyle w:val="Normal"/>
        <w:numPr>
          <w:ilvl w:val="0"/>
          <w:numId w:val="3"/>
        </w:numPr>
        <w:rPr/>
      </w:pPr>
      <w:r>
        <w:rPr/>
        <w:t>Location: Rooms will be posted in Albert before your first class.</w:t>
      </w:r>
    </w:p>
    <w:p>
      <w:pPr>
        <w:pStyle w:val="Normal"/>
        <w:rPr/>
      </w:pPr>
      <w:r>
        <w:rPr/>
      </w:r>
    </w:p>
    <w:p>
      <w:pPr>
        <w:pStyle w:val="Normal"/>
        <w:numPr>
          <w:ilvl w:val="0"/>
          <w:numId w:val="4"/>
        </w:numPr>
        <w:rPr/>
      </w:pPr>
      <w:r>
        <w:rPr/>
        <w:t>Remote Participants: Your instructor will provide you with the Zoom link via NYU Classes.</w:t>
      </w:r>
    </w:p>
    <w:p>
      <w:pPr>
        <w:pStyle w:val="Normal"/>
        <w:numPr>
          <w:ilvl w:val="0"/>
          <w:numId w:val="4"/>
        </w:numPr>
        <w:rPr/>
      </w:pPr>
      <w:r>
        <w:rPr/>
        <w:t>COVID-related details:</w:t>
      </w:r>
      <w:r>
        <w:rPr>
          <w:highlight w:val="white"/>
        </w:rPr>
        <w:t xml:space="preserve"> </w:t>
      </w:r>
      <w:r>
        <w:rPr/>
        <w:t xml:space="preserve">In the interest of protecting the NYU Paris community, we are closely following CDC guidance around COVID-19 and adjusting our recommendations and policies accordingly. Your health and well-being is our top priority. </w:t>
      </w:r>
    </w:p>
    <w:p>
      <w:pPr>
        <w:pStyle w:val="Normal"/>
        <w:numPr>
          <w:ilvl w:val="1"/>
          <w:numId w:val="4"/>
        </w:numPr>
        <w:rPr/>
      </w:pPr>
      <w:r>
        <w:rPr/>
        <w:t>If you are attending in person, you will be assigned a seat on the first day and are expected to use that seat for the entire semester due to NYU COVID-19 safety protocol. Please note that you are expected to attend every class meeting in-person; however, this may change during the drop/add period if in-person student registration increases significantly or at any point during the semester if local COVID-19 regulations require additional physical distancing. </w:t>
      </w:r>
    </w:p>
    <w:p>
      <w:pPr>
        <w:pStyle w:val="Normal"/>
        <w:numPr>
          <w:ilvl w:val="1"/>
          <w:numId w:val="4"/>
        </w:numPr>
        <w:rPr/>
      </w:pPr>
      <w:r>
        <w:rPr/>
        <w:t>Additionally, in-person students will be split into cohorts who will attend sessions [AS INDICATED HERE].</w:t>
      </w:r>
    </w:p>
    <w:p>
      <w:pPr>
        <w:pStyle w:val="Normal"/>
        <w:rPr/>
      </w:pPr>
      <w:r>
        <w:rPr/>
      </w:r>
    </w:p>
    <w:p>
      <w:pPr>
        <w:pStyle w:val="Heading2"/>
        <w:rPr>
          <w:color w:val="FF0000"/>
        </w:rPr>
      </w:pPr>
      <w:r>
        <w:rPr>
          <w:color w:val="FF0000"/>
        </w:rPr>
        <w:t>Course Description</w:t>
      </w:r>
    </w:p>
    <w:p>
      <w:pPr>
        <w:pStyle w:val="Normal"/>
        <w:rPr>
          <w:color w:val="000000"/>
        </w:rPr>
      </w:pPr>
      <w:r>
        <w:rPr>
          <w:color w:val="000000"/>
        </w:rPr>
        <w:t>This course is aimed at giving a first introduction to classical topics in numerical analysis, including floating point arithmetics and round-off errors, the numerical solution of linear and nonlinear equations, iterative methods for eigenvalue problems, interpolation and extrapolation of functions, and numerical quadrature. If time permits, we will also cover numerical methods for solving ordinary differential equations.</w:t>
      </w:r>
    </w:p>
    <w:p>
      <w:pPr>
        <w:pStyle w:val="Heading2"/>
        <w:rPr>
          <w:color w:val="FF0000"/>
        </w:rPr>
      </w:pPr>
      <w:r>
        <w:rPr>
          <w:color w:val="FF0000"/>
        </w:rPr>
        <w:t>Course Objective</w:t>
      </w:r>
    </w:p>
    <w:p>
      <w:pPr>
        <w:pStyle w:val="Normal"/>
        <w:rPr>
          <w:color w:val="000000"/>
        </w:rPr>
      </w:pPr>
      <w:r>
        <w:rPr>
          <w:color w:val="000000"/>
        </w:rPr>
        <w:t>After the course, the students will be familiar with the key concepts of stability, convergence and computational complexity in the context of numerical algorithms. They will have gained a broad understanding of the classical numerical methods available for performing fundamental computational tasks, and be able to produce efficient computer implementations of these methods.</w:t>
      </w:r>
    </w:p>
    <w:p>
      <w:pPr>
        <w:pStyle w:val="Heading2"/>
        <w:rPr>
          <w:color w:val="FF0000"/>
        </w:rPr>
      </w:pPr>
      <w:r>
        <w:rPr>
          <w:color w:val="FF0000"/>
        </w:rPr>
        <w:t>Assessment Components</w:t>
      </w:r>
    </w:p>
    <w:p>
      <w:pPr>
        <w:pStyle w:val="Normal"/>
        <w:rPr/>
      </w:pPr>
      <w:r>
        <w:rPr>
          <w:highlight w:val="white"/>
        </w:rPr>
        <w:t xml:space="preserve">You are expected to attend class in person or remote synchronously. </w:t>
      </w:r>
      <w:r>
        <w:rPr/>
        <w:t>Failure to submit or fulfill any required component may result in failure of the class, regardless of grades achieved in other assignments.</w:t>
      </w:r>
    </w:p>
    <w:p>
      <w:pPr>
        <w:pStyle w:val="Heading2"/>
        <w:rPr>
          <w:color w:val="FF0000"/>
        </w:rPr>
      </w:pPr>
      <w:r>
        <w:rPr>
          <w:color w:val="FF0000"/>
        </w:rPr>
        <w:t>Required Text(s)</w:t>
      </w:r>
    </w:p>
    <w:p>
      <w:pPr>
        <w:pStyle w:val="Normal"/>
        <w:widowControl w:val="false"/>
        <w:rPr>
          <w:color w:val="1A1A1A"/>
        </w:rPr>
      </w:pPr>
      <w:r>
        <w:rPr>
          <w:color w:val="1A1A1A"/>
        </w:rPr>
        <w:t>Electronic Resources (via Brightspace / NYU Library Course Reserves)</w:t>
      </w:r>
    </w:p>
    <w:p>
      <w:pPr>
        <w:pStyle w:val="Heading2"/>
        <w:rPr>
          <w:color w:val="FF0000"/>
        </w:rPr>
      </w:pPr>
      <w:r>
        <w:rPr>
          <w:color w:val="FF0000"/>
        </w:rPr>
        <w:t>Supplemental Text(s) (not required to purchase)</w:t>
      </w:r>
    </w:p>
    <w:p>
      <w:pPr>
        <w:pStyle w:val="Normal"/>
        <w:rPr>
          <w:b/>
          <w:b/>
          <w:color w:val="FF0000"/>
        </w:rPr>
      </w:pPr>
      <w:r>
        <w:rPr/>
      </w:r>
    </w:p>
    <w:p>
      <w:pPr>
        <w:pStyle w:val="Normal"/>
        <w:rPr>
          <w:b/>
          <w:b/>
          <w:color w:val="FF0000"/>
        </w:rPr>
      </w:pPr>
      <w:r>
        <w:rPr/>
      </w:r>
    </w:p>
    <w:p>
      <w:pPr>
        <w:pStyle w:val="Normal"/>
        <w:rPr>
          <w:b/>
          <w:b/>
          <w:color w:val="FF0000"/>
        </w:rPr>
      </w:pPr>
      <w:r>
        <w:rPr/>
      </w:r>
    </w:p>
    <w:p>
      <w:pPr>
        <w:pStyle w:val="Normal"/>
        <w:rPr>
          <w:b/>
          <w:b/>
          <w:color w:val="FF0000"/>
        </w:rPr>
      </w:pPr>
      <w:r>
        <w:rPr/>
      </w:r>
    </w:p>
    <w:p>
      <w:pPr>
        <w:pStyle w:val="Heading2"/>
        <w:rPr/>
      </w:pPr>
      <w:r>
        <w:rPr>
          <w:color w:val="FF0000"/>
        </w:rPr>
        <w:t xml:space="preserve">Session 1 </w:t>
      </w:r>
      <w:r>
        <w:rPr/>
        <w:t xml:space="preserve">– [Date here, in the form of Day Month Year - if holiday please give the date in bold and simply write "Public Holiday – No Class" or "Spring/Fall Break – No Class", without counting the session. </w:t>
      </w:r>
    </w:p>
    <w:p>
      <w:pPr>
        <w:pStyle w:val="Heading2"/>
        <w:rPr/>
      </w:pPr>
      <w:r>
        <w:rPr/>
        <w:t>If Make-up day, please write "***Session XX – Make-Up Day: Friday, Day Month Year***. It is essential to make these special days very clear to students at the start of term]</w:t>
      </w:r>
    </w:p>
    <w:p>
      <w:pPr>
        <w:pStyle w:val="Normal"/>
        <w:rPr/>
      </w:pPr>
      <w:r>
        <w:rPr/>
        <w:t>[Please enter a headline or very brief description for each session, as well as the passages with page numbers or chapters that need to be read on Brightspace or in the course book in preparation for each session. Please note: For Session 2 it is safer to give students electronic reading, as they may not have yet obtained the course books. Include what is due for each session in terms of written assignments, ahead of each session.]</w:t>
      </w:r>
    </w:p>
    <w:p>
      <w:pPr>
        <w:pStyle w:val="Heading2"/>
        <w:rPr>
          <w:color w:val="FF0000"/>
        </w:rPr>
      </w:pPr>
      <w:r>
        <w:rPr>
          <w:color w:val="FF0000"/>
        </w:rPr>
        <w:t xml:space="preserve">Session 2 [Date here] </w:t>
      </w:r>
    </w:p>
    <w:p>
      <w:pPr>
        <w:pStyle w:val="Normal"/>
        <w:rPr>
          <w:color w:val="FF0000"/>
        </w:rPr>
      </w:pPr>
      <w:r>
        <w:rPr>
          <w:color w:val="FF0000"/>
        </w:rPr>
        <w:tab/>
        <w:t>[content]</w:t>
      </w:r>
    </w:p>
    <w:p>
      <w:pPr>
        <w:pStyle w:val="Heading2"/>
        <w:rPr>
          <w:color w:val="FF0000"/>
        </w:rPr>
      </w:pPr>
      <w:r>
        <w:rPr>
          <w:color w:val="FF0000"/>
        </w:rPr>
        <w:t>Session 3 [Date here]</w:t>
      </w:r>
    </w:p>
    <w:p>
      <w:pPr>
        <w:pStyle w:val="Normal"/>
        <w:rPr/>
      </w:pPr>
      <w:r>
        <w:rPr/>
        <w:tab/>
        <w:t>[content]</w:t>
      </w:r>
    </w:p>
    <w:p>
      <w:pPr>
        <w:pStyle w:val="Normal"/>
        <w:rPr/>
      </w:pPr>
      <w:r>
        <w:rPr/>
        <w:t>[Please note that Exam Week is only for in-class exams, oral exams or essay submission, but not a regular session requiring student preparation and participation. Students’ exam schedules may differ from their regular class schedule]</w:t>
      </w:r>
    </w:p>
    <w:p>
      <w:pPr>
        <w:pStyle w:val="Heading2"/>
        <w:rPr>
          <w:color w:val="000000" w:themeColor="text1"/>
        </w:rPr>
      </w:pPr>
      <w:r>
        <w:rPr>
          <w:color w:val="000000" w:themeColor="text1"/>
        </w:rPr>
        <w:t>Classroom Etiquette</w:t>
      </w:r>
    </w:p>
    <w:p>
      <w:pPr>
        <w:pStyle w:val="Normal"/>
        <w:rPr/>
      </w:pPr>
      <w:r>
        <w:rPr/>
        <w:t>Please make you sur read and acknowledge the information regarding this section on the </w:t>
      </w:r>
      <w:commentRangeStart w:id="1"/>
      <w:r>
        <w:rPr>
          <w:b/>
          <w:bCs/>
        </w:rPr>
        <w:t>NYU</w:t>
      </w:r>
      <w:r>
        <w:rPr/>
        <w:t xml:space="preserve"> </w:t>
      </w:r>
      <w:r>
        <w:rPr>
          <w:b/>
          <w:bCs/>
        </w:rPr>
        <w:t>Paris Resources</w:t>
      </w:r>
      <w:r>
        <w:rPr>
          <w:b/>
          <w:bCs/>
        </w:rPr>
      </w:r>
      <w:commentRangeEnd w:id="1"/>
      <w:r>
        <w:commentReference w:id="1"/>
      </w:r>
      <w:r>
        <w:rPr/>
        <w:t xml:space="preserve"> site on Brightspace.</w:t>
      </w:r>
    </w:p>
    <w:p>
      <w:pPr>
        <w:pStyle w:val="Heading2"/>
        <w:rPr/>
      </w:pPr>
      <w:r>
        <w:rPr/>
        <w:t>Suggested Co-Curricular Activities</w:t>
      </w:r>
    </w:p>
    <w:p>
      <w:pPr>
        <w:pStyle w:val="Normal"/>
        <w:rPr/>
      </w:pPr>
      <w:r>
        <w:rPr/>
        <w:t>[Enter suggested voluntary co-curricular activities]</w:t>
      </w:r>
    </w:p>
    <w:p>
      <w:pPr>
        <w:pStyle w:val="Heading2"/>
        <w:rPr/>
      </w:pPr>
      <w:r>
        <w:rPr/>
        <w:t>Your Lecturer</w:t>
      </w:r>
    </w:p>
    <w:p>
      <w:pPr>
        <w:pStyle w:val="Normal"/>
        <w:rPr/>
      </w:pPr>
      <w:r>
        <w:rPr/>
        <w:t>U. Vaes is a researcher at Inria</w:t>
      </w:r>
    </w:p>
    <w:p>
      <w:pPr>
        <w:pStyle w:val="Heading1"/>
        <w:rPr/>
      </w:pPr>
      <w:r>
        <w:rPr/>
        <w:t>Academic Policies</w:t>
      </w:r>
    </w:p>
    <w:p>
      <w:pPr>
        <w:pStyle w:val="Heading2"/>
        <w:rPr>
          <w:color w:val="000000" w:themeColor="text1"/>
        </w:rPr>
      </w:pPr>
      <w:r>
        <w:rPr>
          <w:color w:val="000000" w:themeColor="text1"/>
        </w:rPr>
        <w:t>Grade Conversion</w:t>
      </w:r>
    </w:p>
    <w:p>
      <w:pPr>
        <w:pStyle w:val="Normal"/>
        <w:widowControl w:val="false"/>
        <w:tabs>
          <w:tab w:val="clear" w:pos="720"/>
          <w:tab w:val="left" w:pos="0" w:leader="none"/>
        </w:tabs>
        <w:spacing w:before="60" w:after="0"/>
        <w:rPr>
          <w:color w:val="000000" w:themeColor="text1"/>
        </w:rPr>
      </w:pPr>
      <w:r>
        <w:rPr>
          <w:color w:val="000000" w:themeColor="text1"/>
        </w:rPr>
        <w:t>Your lecturer may use one of the following scales of numerical equivalents to letter grades:</w:t>
      </w:r>
    </w:p>
    <w:p>
      <w:pPr>
        <w:pStyle w:val="Normal"/>
        <w:widowControl w:val="false"/>
        <w:tabs>
          <w:tab w:val="clear" w:pos="720"/>
          <w:tab w:val="left" w:pos="0" w:leader="none"/>
        </w:tabs>
        <w:rPr>
          <w:color w:val="000000" w:themeColor="text1"/>
        </w:rPr>
      </w:pPr>
      <w:r>
        <w:rPr>
          <w:color w:val="000000" w:themeColor="text1"/>
        </w:rPr>
      </w:r>
    </w:p>
    <w:tbl>
      <w:tblPr>
        <w:tblStyle w:val="a"/>
        <w:tblW w:w="7335" w:type="dxa"/>
        <w:jc w:val="left"/>
        <w:tblInd w:w="0" w:type="dxa"/>
        <w:tblLayout w:type="fixed"/>
        <w:tblCellMar>
          <w:top w:w="100" w:type="dxa"/>
          <w:left w:w="100" w:type="dxa"/>
          <w:bottom w:w="100" w:type="dxa"/>
          <w:right w:w="100" w:type="dxa"/>
        </w:tblCellMar>
        <w:tblLook w:val="0620" w:noHBand="1" w:noVBand="1" w:firstColumn="0" w:lastRow="0" w:lastColumn="0" w:firstRow="1"/>
      </w:tblPr>
      <w:tblGrid>
        <w:gridCol w:w="1934"/>
        <w:gridCol w:w="1800"/>
        <w:gridCol w:w="2086"/>
        <w:gridCol w:w="1514"/>
      </w:tblGrid>
      <w:tr>
        <w:trPr>
          <w:trHeight w:val="144" w:hRule="atLeast"/>
        </w:trPr>
        <w:tc>
          <w:tcPr>
            <w:tcW w:w="1934"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b/>
                <w:b/>
                <w:color w:val="000000" w:themeColor="text1"/>
              </w:rPr>
            </w:pPr>
            <w:r>
              <w:rPr>
                <w:b/>
                <w:color w:val="000000" w:themeColor="text1"/>
              </w:rPr>
              <w:t>US Letter Grade</w:t>
            </w:r>
          </w:p>
        </w:tc>
        <w:tc>
          <w:tcPr>
            <w:tcW w:w="1800" w:type="dxa"/>
            <w:tcBorders>
              <w:top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b/>
                <w:b/>
                <w:color w:val="000000" w:themeColor="text1"/>
              </w:rPr>
            </w:pPr>
            <w:r>
              <w:rPr>
                <w:b/>
                <w:color w:val="000000" w:themeColor="text1"/>
              </w:rPr>
              <w:t>US numerical</w:t>
            </w:r>
          </w:p>
        </w:tc>
        <w:tc>
          <w:tcPr>
            <w:tcW w:w="2086" w:type="dxa"/>
            <w:tcBorders>
              <w:top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b/>
                <w:b/>
                <w:color w:val="000000" w:themeColor="text1"/>
              </w:rPr>
            </w:pPr>
            <w:r>
              <w:rPr>
                <w:b/>
                <w:color w:val="000000" w:themeColor="text1"/>
              </w:rPr>
              <w:t>French numerical</w:t>
            </w:r>
          </w:p>
        </w:tc>
        <w:tc>
          <w:tcPr>
            <w:tcW w:w="1514" w:type="dxa"/>
            <w:tcBorders>
              <w:top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b/>
                <w:b/>
                <w:color w:val="000000" w:themeColor="text1"/>
              </w:rPr>
            </w:pPr>
            <w:r>
              <w:rPr>
                <w:b/>
                <w:color w:val="000000" w:themeColor="text1"/>
              </w:rPr>
              <w:t xml:space="preserve"> </w:t>
            </w:r>
          </w:p>
        </w:tc>
      </w:tr>
      <w:tr>
        <w:trPr>
          <w:trHeight w:val="395"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A</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94-100 or 4.0</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15-20</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Excellent</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A-</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90-93 or 3.7</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14</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Very Good</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B+</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87-89 or 3.3</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13</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Good</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B</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84-86 or 2.7</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12</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Good</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B-</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 xml:space="preserve">80-83 or 2.7 </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11</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Satisfactory</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C+</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77-79 or 2.3</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10</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Sufficient</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C</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 xml:space="preserve">74-76 or 2.0 </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9</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Sufficient</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C-</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70-73 or 1.7</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8</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Sufficient</w:t>
            </w:r>
          </w:p>
        </w:tc>
      </w:tr>
      <w:tr>
        <w:trPr>
          <w:trHeight w:val="144" w:hRule="atLeast"/>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D</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65-66 or 1.0</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5-7</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Poor</w:t>
            </w:r>
          </w:p>
        </w:tc>
      </w:tr>
      <w:tr>
        <w:trPr/>
        <w:tc>
          <w:tcPr>
            <w:tcW w:w="1934" w:type="dxa"/>
            <w:tcBorders>
              <w:left w:val="single" w:sz="8" w:space="0" w:color="000000"/>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F</w:t>
            </w:r>
          </w:p>
        </w:tc>
        <w:tc>
          <w:tcPr>
            <w:tcW w:w="1800"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below 65 or 0</w:t>
            </w:r>
          </w:p>
        </w:tc>
        <w:tc>
          <w:tcPr>
            <w:tcW w:w="2086"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1-4</w:t>
            </w:r>
          </w:p>
        </w:tc>
        <w:tc>
          <w:tcPr>
            <w:tcW w:w="1514" w:type="dxa"/>
            <w:tcBorders>
              <w:bottom w:val="single" w:sz="8" w:space="0" w:color="000000"/>
              <w:right w:val="single" w:sz="8" w:space="0" w:color="000000"/>
            </w:tcBorders>
          </w:tcPr>
          <w:p>
            <w:pPr>
              <w:pStyle w:val="Normal"/>
              <w:widowControl w:val="false"/>
              <w:tabs>
                <w:tab w:val="clear" w:pos="720"/>
                <w:tab w:val="left" w:pos="0" w:leader="none"/>
              </w:tabs>
              <w:spacing w:lineRule="auto" w:line="276" w:before="240" w:after="0"/>
              <w:rPr>
                <w:color w:val="000000" w:themeColor="text1"/>
              </w:rPr>
            </w:pPr>
            <w:r>
              <w:rPr>
                <w:color w:val="000000" w:themeColor="text1"/>
              </w:rPr>
              <w:t>Fail</w:t>
            </w:r>
          </w:p>
        </w:tc>
      </w:tr>
    </w:tbl>
    <w:p>
      <w:pPr>
        <w:pStyle w:val="Normal"/>
        <w:widowControl w:val="false"/>
        <w:tabs>
          <w:tab w:val="clear" w:pos="720"/>
          <w:tab w:val="left" w:pos="0" w:leader="none"/>
        </w:tabs>
        <w:rPr>
          <w:color w:val="000000" w:themeColor="text1"/>
        </w:rPr>
      </w:pPr>
      <w:r>
        <w:rPr>
          <w:color w:val="000000" w:themeColor="text1"/>
        </w:rPr>
      </w:r>
    </w:p>
    <w:p>
      <w:pPr>
        <w:pStyle w:val="Heading2"/>
        <w:rPr>
          <w:color w:val="000000" w:themeColor="text1"/>
        </w:rPr>
      </w:pPr>
      <w:r>
        <w:rPr>
          <w:color w:val="000000" w:themeColor="text1"/>
        </w:rPr>
        <w:t>Attendance Policy</w:t>
      </w:r>
    </w:p>
    <w:p>
      <w:pPr>
        <w:pStyle w:val="Normal"/>
        <w:rPr>
          <w:color w:val="000000" w:themeColor="text1"/>
        </w:rPr>
      </w:pPr>
      <w:bookmarkStart w:id="3" w:name="_2bn6wsx"/>
      <w:bookmarkEnd w:id="3"/>
      <w:r>
        <w:rPr>
          <w:color w:val="000000" w:themeColor="text1"/>
          <w:highlight w:val="white"/>
        </w:rPr>
        <w:t xml:space="preserve">Studying at Global Academic Centers is an academically intensive and immersive experience, in which students from a wide range of backgrounds exchange ideas in discussion-based seminars. Learning in such an environment depends on the active participation of all students. And since classes typically meet once or twice a week, even a single absence can cause a student to miss a significant portion of a course. To ensure the integrity of this academic experience, class attendance at the centers, or online through NYU Brightspaces if the course is remote synchronous/blended, is expected promptly when class begins. Attendance will be checked at each class meeting. If you have scheduled a remote course immediately preceding/following an in-person class, you may want to write to </w:t>
      </w:r>
      <w:hyperlink r:id="rId3">
        <w:r>
          <w:rPr>
            <w:color w:val="000000" w:themeColor="text1"/>
            <w:highlight w:val="white"/>
            <w:u w:val="single"/>
          </w:rPr>
          <w:t>nyu.paris.academics@nyu.edu</w:t>
        </w:r>
      </w:hyperlink>
      <w:r>
        <w:rPr>
          <w:color w:val="000000" w:themeColor="text1"/>
          <w:highlight w:val="white"/>
        </w:rPr>
        <w:t xml:space="preserve"> to see if you can take your remote class at the Academic Center</w:t>
      </w:r>
      <w:r>
        <w:rPr>
          <w:color w:val="000000" w:themeColor="text1"/>
        </w:rPr>
        <w:t>.</w:t>
      </w:r>
    </w:p>
    <w:p>
      <w:pPr>
        <w:pStyle w:val="Normal"/>
        <w:rPr>
          <w:color w:val="000000" w:themeColor="text1"/>
        </w:rPr>
      </w:pPr>
      <w:r>
        <w:rPr>
          <w:color w:val="000000" w:themeColor="text1"/>
        </w:rPr>
      </w:r>
      <w:bookmarkStart w:id="4" w:name="_4zuo1742mpav"/>
      <w:bookmarkStart w:id="5" w:name="_4zuo1742mpav"/>
      <w:bookmarkEnd w:id="5"/>
    </w:p>
    <w:p>
      <w:pPr>
        <w:pStyle w:val="Normal"/>
        <w:rPr>
          <w:color w:val="000000" w:themeColor="text1"/>
        </w:rPr>
      </w:pPr>
      <w:bookmarkStart w:id="6" w:name="_bpp4n02l7s99"/>
      <w:bookmarkEnd w:id="6"/>
      <w:r>
        <w:rPr>
          <w:color w:val="000000" w:themeColor="text1"/>
        </w:rPr>
        <w:t>As soon as it becomes clear that you cannot attend a class, you must inform your professor and/or the Academics team by e-mail immediately (i.e. before the start of your class). Absences are only excused if they are due to illness, Moses Center accommodations, religious observance or emergencies. Your professor or site staff may ask you to present a doctor's note or an exceptional permission from an NYU Staff member as proof. Emergencies or other exceptional circumstances that you wish to be treated confidentially must be presented to staff. Doctor's notes must be submitted in person or by e-mail to the Academics team, who will inform your professors.</w:t>
      </w:r>
    </w:p>
    <w:p>
      <w:pPr>
        <w:pStyle w:val="Normal"/>
        <w:rPr>
          <w:color w:val="000000" w:themeColor="text1"/>
        </w:rPr>
      </w:pPr>
      <w:r>
        <w:rPr>
          <w:color w:val="000000" w:themeColor="text1"/>
        </w:rPr>
      </w:r>
      <w:bookmarkStart w:id="7" w:name="_whtdl1bkqny"/>
      <w:bookmarkStart w:id="8" w:name="_whtdl1bkqny"/>
      <w:bookmarkEnd w:id="8"/>
    </w:p>
    <w:p>
      <w:pPr>
        <w:pStyle w:val="Normal"/>
        <w:shd w:val="clear" w:color="auto" w:fill="FFFFFF"/>
        <w:rPr>
          <w:color w:val="000000" w:themeColor="text1"/>
          <w:highlight w:val="yellow"/>
        </w:rPr>
      </w:pPr>
      <w:r>
        <w:rPr>
          <w:color w:val="000000" w:themeColor="text1"/>
          <w:highlight w:val="yellow"/>
        </w:rPr>
        <w:t>Unexcused absences may be penalized with a two percent deduction from the student’s final course grade for every week's worth of classes missed, and may negatively affect your class participation grade. Four unexcused absences in one course may lead to a Fail in that course. Being more than 15 minutes late counts as an unexcused absence. Your professor is entitled to deduct points if you frequently join the class late.</w:t>
      </w:r>
    </w:p>
    <w:p>
      <w:pPr>
        <w:pStyle w:val="Normal"/>
        <w:shd w:val="clear" w:color="auto" w:fill="FFFFFF"/>
        <w:rPr>
          <w:color w:val="000000" w:themeColor="text1"/>
        </w:rPr>
      </w:pPr>
      <w:r>
        <w:rPr>
          <w:color w:val="000000" w:themeColor="text1"/>
        </w:rPr>
      </w:r>
    </w:p>
    <w:p>
      <w:pPr>
        <w:pStyle w:val="Normal"/>
        <w:shd w:val="clear" w:color="auto" w:fill="FFFFFF"/>
        <w:rPr>
          <w:color w:val="000000" w:themeColor="text1"/>
        </w:rPr>
      </w:pPr>
      <w:r>
        <w:rPr>
          <w:color w:val="000000" w:themeColor="text1"/>
        </w:rPr>
        <w:t>Exams, tests and quizzes, deadlines, and oral presentations that are missed due to illness always require a doctor's note as documentation. It is the student's responsibility to produce this doctor's note and submit it to site staff; until this doctor's note is produced the missed assessment is graded with an F and no make-up assessment is scheduled. In content classes, an F in one assignment may lead to failure of the entire class.</w:t>
      </w:r>
    </w:p>
    <w:p>
      <w:pPr>
        <w:pStyle w:val="Normal"/>
        <w:rPr>
          <w:color w:val="000000" w:themeColor="text1"/>
        </w:rPr>
      </w:pPr>
      <w:r>
        <w:rPr>
          <w:color w:val="000000" w:themeColor="text1"/>
        </w:rPr>
      </w:r>
      <w:bookmarkStart w:id="9" w:name="_az25kkdv3d1v"/>
      <w:bookmarkStart w:id="10" w:name="_az25kkdv3d1v"/>
      <w:bookmarkEnd w:id="10"/>
    </w:p>
    <w:p>
      <w:pPr>
        <w:pStyle w:val="Normal"/>
        <w:shd w:val="clear" w:color="auto" w:fill="FFFFFF"/>
        <w:rPr>
          <w:color w:val="000000" w:themeColor="text1"/>
        </w:rPr>
      </w:pPr>
      <w:r>
        <w:rPr>
          <w:color w:val="000000" w:themeColor="text1"/>
        </w:rPr>
        <w:t>Regardless of whether an absence is excused or not, it is the student's responsibility to catch up with the work that was missed.</w:t>
      </w:r>
    </w:p>
    <w:p>
      <w:pPr>
        <w:pStyle w:val="Heading2"/>
        <w:jc w:val="left"/>
        <w:rPr>
          <w:color w:val="000000" w:themeColor="text1"/>
        </w:rPr>
      </w:pPr>
      <w:bookmarkStart w:id="11" w:name="_e2sllg32pj4n"/>
      <w:bookmarkEnd w:id="11"/>
      <w:r>
        <w:rPr>
          <w:color w:val="000000" w:themeColor="text1"/>
        </w:rPr>
        <w:t xml:space="preserve">Final exams </w:t>
      </w:r>
    </w:p>
    <w:p>
      <w:pPr>
        <w:pStyle w:val="Normal"/>
        <w:rPr>
          <w:color w:val="000000" w:themeColor="text1"/>
          <w:highlight w:val="white"/>
        </w:rPr>
      </w:pPr>
      <w:bookmarkStart w:id="12" w:name="_ci3u4j419mvn"/>
      <w:bookmarkEnd w:id="12"/>
      <w:r>
        <w:rPr>
          <w:color w:val="000000" w:themeColor="text1"/>
          <w:highlight w:val="white"/>
        </w:rPr>
        <w:t>Final exams must be taken at their designated times. Should there be a conflict between your final exams, please bring this to the attention of the Academics team. Final exams may not be taken early, and students should not plan to leave the site before the end of the finals period.</w:t>
      </w:r>
    </w:p>
    <w:p>
      <w:pPr>
        <w:pStyle w:val="Heading2"/>
        <w:rPr>
          <w:color w:val="000000" w:themeColor="text1"/>
        </w:rPr>
      </w:pPr>
      <w:r>
        <w:rPr>
          <w:color w:val="000000" w:themeColor="text1"/>
        </w:rPr>
        <w:t>Late Submission of Work</w:t>
      </w:r>
    </w:p>
    <w:p>
      <w:pPr>
        <w:pStyle w:val="Normal"/>
        <w:numPr>
          <w:ilvl w:val="0"/>
          <w:numId w:val="5"/>
        </w:numPr>
        <w:pBdr/>
        <w:spacing w:before="0" w:after="220"/>
        <w:ind w:left="714" w:hanging="357"/>
        <w:rPr>
          <w:color w:val="000000" w:themeColor="text1"/>
        </w:rPr>
      </w:pPr>
      <w:r>
        <w:rPr>
          <w:color w:val="000000" w:themeColor="text1"/>
        </w:rPr>
        <w:t>Work submitted late receives a penalty of 2 points on the 100 point scale for each day it is late (including weekends and public holidays), unless an extension has been approved (with a doctor's note or by approval of NYU SITE Staff), in which case the 2 points per day deductions start counting from the day the extended deadline has passed.</w:t>
      </w:r>
    </w:p>
    <w:p>
      <w:pPr>
        <w:pStyle w:val="Normal"/>
        <w:numPr>
          <w:ilvl w:val="0"/>
          <w:numId w:val="5"/>
        </w:numPr>
        <w:pBdr/>
        <w:spacing w:before="0" w:after="220"/>
        <w:ind w:left="714" w:hanging="357"/>
        <w:rPr>
          <w:color w:val="000000" w:themeColor="text1"/>
        </w:rPr>
      </w:pPr>
      <w:r>
        <w:rPr>
          <w:color w:val="000000" w:themeColor="text1"/>
        </w:rPr>
        <w:t>Without an approved extension, written work submitted more than 5 days (including weekends and public holidays) following the submission date receives an F.</w:t>
      </w:r>
    </w:p>
    <w:p>
      <w:pPr>
        <w:pStyle w:val="Normal"/>
        <w:numPr>
          <w:ilvl w:val="0"/>
          <w:numId w:val="5"/>
        </w:numPr>
        <w:tabs>
          <w:tab w:val="clear" w:pos="720"/>
          <w:tab w:val="left" w:pos="7825" w:leader="none"/>
          <w:tab w:val="left" w:pos="8365" w:leader="none"/>
        </w:tabs>
        <w:spacing w:before="0" w:after="280"/>
        <w:ind w:left="720" w:right="432" w:hanging="360"/>
        <w:rPr>
          <w:color w:val="000000" w:themeColor="text1"/>
        </w:rPr>
      </w:pPr>
      <w:r>
        <w:rPr>
          <w:color w:val="000000" w:themeColor="text1"/>
        </w:rPr>
        <w:t>Assignments due during finals week that are submitted more than 3 days late (including weekends and public holidays) without previously arranged extensions will not be accepted and will receive a zero. Any exceptions or extensions for work during finals week must be approved by Academic Affairs (nyu.paris.academics@nyu.edu).</w:t>
      </w:r>
    </w:p>
    <w:p>
      <w:pPr>
        <w:pStyle w:val="Normal"/>
        <w:numPr>
          <w:ilvl w:val="0"/>
          <w:numId w:val="5"/>
        </w:numPr>
        <w:pBdr/>
        <w:spacing w:before="0" w:after="220"/>
        <w:ind w:left="714" w:hanging="357"/>
        <w:rPr>
          <w:color w:val="000000" w:themeColor="text1"/>
        </w:rPr>
      </w:pPr>
      <w:r>
        <w:rPr>
          <w:color w:val="000000" w:themeColor="text1"/>
        </w:rPr>
        <w:t>Students who are late for a written exam have no automatic right to take extra time or to write the exam on another day.</w:t>
      </w:r>
    </w:p>
    <w:p>
      <w:pPr>
        <w:pStyle w:val="Normal"/>
        <w:numPr>
          <w:ilvl w:val="0"/>
          <w:numId w:val="5"/>
        </w:numPr>
        <w:pBdr/>
        <w:spacing w:before="0" w:after="220"/>
        <w:ind w:left="714" w:hanging="357"/>
        <w:rPr>
          <w:color w:val="000000" w:themeColor="text1"/>
        </w:rPr>
      </w:pPr>
      <w:r>
        <w:rPr>
          <w:color w:val="000000" w:themeColor="text1"/>
        </w:rPr>
        <w:t>Please remember that university computers do not keep your essays - you must save them elsewhere. Having lost parts of your essay on the university computer is no excuse for a late submission.</w:t>
      </w:r>
    </w:p>
    <w:p>
      <w:pPr>
        <w:pStyle w:val="Heading2"/>
        <w:spacing w:lineRule="auto" w:line="276"/>
        <w:jc w:val="left"/>
        <w:rPr>
          <w:color w:val="000000" w:themeColor="text1"/>
        </w:rPr>
      </w:pPr>
      <w:bookmarkStart w:id="13" w:name="_2p2csry"/>
      <w:bookmarkEnd w:id="13"/>
      <w:r>
        <w:rPr>
          <w:color w:val="000000" w:themeColor="text1"/>
        </w:rPr>
        <w:t>Academic Honesty/Plagiarism</w:t>
      </w:r>
    </w:p>
    <w:p>
      <w:pPr>
        <w:pStyle w:val="Normal"/>
        <w:rPr>
          <w:color w:val="000000" w:themeColor="text1"/>
        </w:rPr>
      </w:pPr>
      <w:r>
        <w:rPr>
          <w:color w:val="000000" w:themeColor="text1"/>
        </w:rPr>
        <w:t>As the University's policy on "</w:t>
      </w:r>
      <w:hyperlink r:id="rId4">
        <w:r>
          <w:rPr>
            <w:color w:val="000000" w:themeColor="text1"/>
            <w:u w:val="single"/>
          </w:rPr>
          <w:t>Academic Integrity for Students at NYU</w:t>
        </w:r>
      </w:hyperlink>
      <w:r>
        <w:rPr>
          <w:color w:val="000000" w:themeColor="text1"/>
        </w:rPr>
        <w:t>" states: "At NYU, a commitment to excellence, fairness, honesty, and respect within and outside the classroom is essential to maintaining the integrity of our community. By accepting membership in this community, students take responsibility for demonstrating these values in their own conduct and for recognizing and supporting these values in others." Students at Global Academic Centers must follow the University and school policies.</w:t>
        <w:br/>
        <w:br/>
        <w:t xml:space="preserve">NYU takes plagiarism very seriously; penalties follow and may exceed those set out by your home school. Your lecturer may ask you to sign a declaration of authorship form, and may check your assignments by using TurnItIn or another software designed to detect offences against academic integrity. </w:t>
      </w:r>
    </w:p>
    <w:p>
      <w:pPr>
        <w:pStyle w:val="Normal"/>
        <w:spacing w:before="280" w:after="280"/>
        <w:ind w:right="432" w:hanging="0"/>
        <w:rPr>
          <w:color w:val="000000" w:themeColor="text1"/>
        </w:rPr>
      </w:pPr>
      <w:r>
        <w:rPr>
          <w:color w:val="000000" w:themeColor="text1"/>
        </w:rPr>
        <w:t>The presentation of another person’s words, ideas, judgment, images, or data as though they were your own, whether intentionally or unintentionally, constitutes an act of plagiarism. 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br/>
        <w:br/>
        <w:t>For guidelines on academic honesty, clarification of the definition of plagiarism, examples of procedures and sanctions, and resources to support proper citation, please see:</w:t>
      </w:r>
    </w:p>
    <w:p>
      <w:pPr>
        <w:pStyle w:val="Normal"/>
        <w:spacing w:before="0" w:after="280"/>
        <w:ind w:left="720" w:right="432" w:hanging="0"/>
        <w:jc w:val="left"/>
        <w:rPr>
          <w:color w:val="0070C0"/>
        </w:rPr>
      </w:pPr>
      <w:hyperlink r:id="rId5">
        <w:r>
          <w:rPr>
            <w:color w:val="000000" w:themeColor="text1"/>
            <w:u w:val="single"/>
          </w:rPr>
          <w:t>NYU Academic Integrity Policies and Guidelines</w:t>
        </w:r>
      </w:hyperlink>
      <w:r>
        <w:rPr>
          <w:color w:val="000000" w:themeColor="text1"/>
        </w:rPr>
        <w:t xml:space="preserve"> </w:t>
        <w:br/>
        <w:br/>
      </w:r>
      <w:hyperlink r:id="rId6">
        <w:r>
          <w:rPr>
            <w:color w:val="000000" w:themeColor="text1"/>
            <w:u w:val="single"/>
          </w:rPr>
          <w:t>NYU Library Guides</w:t>
        </w:r>
      </w:hyperlink>
      <w:r>
        <w:rPr>
          <w:color w:val="0070C0"/>
        </w:rPr>
        <w:t xml:space="preserve"> </w:t>
      </w:r>
    </w:p>
    <w:p>
      <w:pPr>
        <w:pStyle w:val="Heading1"/>
        <w:rPr/>
      </w:pPr>
      <w:bookmarkStart w:id="14" w:name="_yml2ohxe4sfn"/>
      <w:bookmarkEnd w:id="14"/>
      <w:r>
        <w:rPr/>
        <w:t>Inclusivity Policies and Priorities</w:t>
      </w:r>
    </w:p>
    <w:p>
      <w:pPr>
        <w:pStyle w:val="Normal"/>
        <w:rPr/>
      </w:pPr>
      <w:r>
        <w:rPr/>
      </w:r>
    </w:p>
    <w:p>
      <w:pPr>
        <w:pStyle w:val="Normal"/>
        <w:spacing w:lineRule="auto" w:line="276"/>
        <w:rPr/>
      </w:pPr>
      <w:r>
        <w:rPr/>
        <w:t>NYU’s Office of Global Programs and NYU’s global sites are committed to equity, diversity, and inclusion. In order to nurture a more inclusive global university, NYU affirms the value of sharing differing perspectives and encourages open dialogue through a variety of pedagogical approaches. Our goal is to make all students feel included and welcome in all aspects of academic life, including our syllabi, classrooms, and educational activities/spaces.</w:t>
      </w:r>
    </w:p>
    <w:p>
      <w:pPr>
        <w:pStyle w:val="Heading2"/>
        <w:rPr/>
      </w:pPr>
      <w:bookmarkStart w:id="15" w:name="_v02gszn9unk5"/>
      <w:bookmarkEnd w:id="15"/>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SITE’s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7">
        <w:r>
          <w:rPr>
            <w:color w:val="0000FF"/>
            <w:u w:val="single"/>
          </w:rPr>
          <w:t>University Calendar Policy on Religious Holidays</w:t>
        </w:r>
      </w:hyperlink>
    </w:p>
    <w:p>
      <w:pPr>
        <w:pStyle w:val="Heading2"/>
        <w:spacing w:lineRule="auto" w:line="276"/>
        <w:jc w:val="left"/>
        <w:rPr/>
      </w:pPr>
      <w:bookmarkStart w:id="16" w:name="_ot548ssafc41"/>
      <w:bookmarkStart w:id="17" w:name="_9kys3tbn8rv9"/>
      <w:bookmarkEnd w:id="16"/>
      <w:bookmarkEnd w:id="17"/>
      <w:r>
        <w:rPr/>
        <w:t>Pronouns and Name Pronunciation (Albert and Zoom)</w:t>
      </w:r>
    </w:p>
    <w:p>
      <w:pPr>
        <w:pStyle w:val="Normal"/>
        <w:rPr/>
      </w:pPr>
      <w:r>
        <w:rPr/>
        <w:t xml:space="preserve">Students, staff, and faculty have the opportunity to add their pronouns, as well as the pronunciation of their names, into Albert. Students can have this information displayed to faculty, advisors, and administrators in Albert, Brightspace, the NYU Home internal directory, as well as other NYU systems.  Students can also opt out of having their pronouns viewed by their instructors, in case they feel more comfortable sharing their pronouns outside of the classroom. For more information on how to change this information for your Albert account, please see the </w:t>
      </w:r>
      <w:hyperlink r:id="rId8">
        <w:r>
          <w:rPr>
            <w:color w:val="1155CC"/>
            <w:u w:val="single"/>
          </w:rPr>
          <w:t>Pronouns and Name Pronunciation website</w:t>
        </w:r>
      </w:hyperlink>
      <w:r>
        <w:rPr/>
        <w:t>.</w:t>
      </w:r>
    </w:p>
    <w:p>
      <w:pPr>
        <w:pStyle w:val="Normal"/>
        <w:rPr/>
      </w:pPr>
      <w:r>
        <w:rPr/>
      </w:r>
    </w:p>
    <w:p>
      <w:pPr>
        <w:pStyle w:val="Normal"/>
        <w:rPr/>
      </w:pPr>
      <w:r>
        <w:rPr/>
        <w:t xml:space="preserve">Students, staff, and faculty are also encouraged, though not required, to list their pronouns, and update their names in the name display for Zoom. For more information on how to make this change, please see the </w:t>
      </w:r>
      <w:hyperlink r:id="rId9">
        <w:r>
          <w:rPr>
            <w:color w:val="1155CC"/>
            <w:u w:val="single"/>
          </w:rPr>
          <w:t>Personalizing Zoom Display Names website</w:t>
        </w:r>
      </w:hyperlink>
      <w:r>
        <w:rPr/>
        <w:t>.</w:t>
      </w:r>
    </w:p>
    <w:p>
      <w:pPr>
        <w:pStyle w:val="Heading2"/>
        <w:spacing w:lineRule="auto" w:line="276"/>
        <w:jc w:val="left"/>
        <w:rPr/>
      </w:pPr>
      <w:bookmarkStart w:id="18" w:name="_ukz31prdflco"/>
      <w:bookmarkEnd w:id="18"/>
      <w:r>
        <w:rPr/>
        <w:t>Moses Accommodations Statement</w:t>
      </w:r>
    </w:p>
    <w:p>
      <w:pPr>
        <w:pStyle w:val="Normal"/>
        <w:rPr/>
      </w:pPr>
      <w:r>
        <w:rPr/>
        <w:t xml:space="preserve">Academic accommodations are available for students with documented and registered disabilities. Please contact the Moses Center for Student Accessibility (+1 212-998-4980 or </w:t>
      </w:r>
      <w:hyperlink r:id="rId10">
        <w:r>
          <w:rPr>
            <w:color w:val="1155CC"/>
            <w:u w:val="single"/>
          </w:rPr>
          <w:t>mosescsd@nyu.edu</w:t>
        </w:r>
      </w:hyperlink>
      <w:r>
        <w:rPr/>
        <w:t>) for further information. Students who are requesting academic accommodations are advised to reach out to the Moses Center as early as possible in the semester for assistance. Accommodations for this course are managed through NYU Paris.</w:t>
      </w:r>
    </w:p>
    <w:p>
      <w:pPr>
        <w:pStyle w:val="Normal"/>
        <w:spacing w:before="0" w:after="280"/>
        <w:ind w:left="720" w:right="432" w:hanging="0"/>
        <w:jc w:val="left"/>
        <w:rPr>
          <w:color w:val="1A1A1A"/>
        </w:rPr>
      </w:pPr>
      <w:r>
        <w:rPr>
          <w:color w:val="1A1A1A"/>
        </w:rPr>
      </w:r>
    </w:p>
    <w:p>
      <w:pPr>
        <w:pStyle w:val="Heading2"/>
        <w:widowControl w:val="false"/>
        <w:spacing w:lineRule="auto" w:line="276" w:before="480" w:after="240"/>
        <w:jc w:val="left"/>
        <w:rPr/>
      </w:pPr>
      <w:bookmarkStart w:id="19" w:name="_ohmnpfss1bc4"/>
      <w:bookmarkEnd w:id="19"/>
      <w:r>
        <w:rPr/>
        <w:t>Bias Response</w:t>
      </w:r>
    </w:p>
    <w:p>
      <w:pPr>
        <w:pStyle w:val="Normal"/>
        <w:rPr/>
      </w:pPr>
      <w:r>
        <w:rPr/>
        <w:t>The New York University Bias Response Line provides a mechanism through which members of our community can share or report experiences and concerns of bias, discrimination, or harassing behavior that may occur within our community.</w:t>
      </w:r>
    </w:p>
    <w:p>
      <w:pPr>
        <w:pStyle w:val="Normal"/>
        <w:rPr/>
      </w:pPr>
      <w:r>
        <w:rPr/>
      </w:r>
    </w:p>
    <w:p>
      <w:pPr>
        <w:pStyle w:val="Normal"/>
        <w:rPr/>
      </w:pPr>
      <w:r>
        <w:rPr/>
        <w:t>Experienced administrators in the Office of Equal Opportunity (OEO) receive and assess reports, and then help facilitate responses, which may include referral to another University school or unit, or investigation if warranted according to the University's existing Non-Discrimination and Anti-Harassment Policy.</w:t>
      </w:r>
    </w:p>
    <w:p>
      <w:pPr>
        <w:pStyle w:val="Normal"/>
        <w:rPr/>
      </w:pPr>
      <w:r>
        <w:rPr/>
      </w:r>
    </w:p>
    <w:p>
      <w:pPr>
        <w:pStyle w:val="Normal"/>
        <w:rPr/>
      </w:pPr>
      <w:r>
        <w:rPr/>
        <w:t>The Bias Response Line is designed to enable the University to provide an open forum that helps to ensure that our community is equitable and inclusive.</w:t>
      </w:r>
    </w:p>
    <w:p>
      <w:pPr>
        <w:pStyle w:val="Normal"/>
        <w:rPr/>
      </w:pPr>
      <w:r>
        <w:rPr/>
      </w:r>
    </w:p>
    <w:p>
      <w:pPr>
        <w:pStyle w:val="Normal"/>
        <w:spacing w:lineRule="auto" w:line="612"/>
        <w:rPr/>
      </w:pPr>
      <w:r>
        <w:rPr/>
        <w:t>To report an incident, please contact one of the following:</w:t>
      </w:r>
    </w:p>
    <w:p>
      <w:pPr>
        <w:pStyle w:val="Normal"/>
        <w:numPr>
          <w:ilvl w:val="0"/>
          <w:numId w:val="2"/>
        </w:numPr>
        <w:spacing w:lineRule="auto" w:line="468"/>
        <w:rPr>
          <w:color w:val="404040"/>
          <w:sz w:val="23"/>
          <w:szCs w:val="23"/>
        </w:rPr>
      </w:pPr>
      <w:r>
        <w:rPr>
          <w:color w:val="404040"/>
          <w:sz w:val="23"/>
          <w:szCs w:val="23"/>
        </w:rPr>
        <w:t xml:space="preserve">Online using the </w:t>
      </w:r>
      <w:hyperlink r:id="rId11">
        <w:r>
          <w:rPr>
            <w:color w:val="1155CC"/>
            <w:sz w:val="23"/>
            <w:szCs w:val="23"/>
            <w:u w:val="single"/>
          </w:rPr>
          <w:t>Web Form (link)</w:t>
        </w:r>
      </w:hyperlink>
    </w:p>
    <w:p>
      <w:pPr>
        <w:pStyle w:val="Normal"/>
        <w:numPr>
          <w:ilvl w:val="0"/>
          <w:numId w:val="2"/>
        </w:numPr>
        <w:spacing w:lineRule="auto" w:line="468"/>
        <w:rPr>
          <w:color w:val="404040"/>
          <w:sz w:val="23"/>
          <w:szCs w:val="23"/>
        </w:rPr>
      </w:pPr>
      <w:r>
        <w:rPr>
          <w:color w:val="404040"/>
          <w:sz w:val="23"/>
          <w:szCs w:val="23"/>
        </w:rPr>
        <w:t xml:space="preserve">Email: </w:t>
      </w:r>
      <w:hyperlink r:id="rId12">
        <w:r>
          <w:rPr>
            <w:color w:val="1155CC"/>
            <w:sz w:val="23"/>
            <w:szCs w:val="23"/>
            <w:u w:val="single"/>
          </w:rPr>
          <w:t>bias.response@nyu.edu</w:t>
        </w:r>
      </w:hyperlink>
    </w:p>
    <w:p>
      <w:pPr>
        <w:pStyle w:val="Normal"/>
        <w:numPr>
          <w:ilvl w:val="0"/>
          <w:numId w:val="2"/>
        </w:numPr>
        <w:spacing w:lineRule="auto" w:line="468"/>
        <w:rPr>
          <w:color w:val="404040"/>
          <w:sz w:val="23"/>
          <w:szCs w:val="23"/>
        </w:rPr>
      </w:pPr>
      <w:r>
        <w:rPr>
          <w:color w:val="404040"/>
          <w:sz w:val="23"/>
          <w:szCs w:val="23"/>
        </w:rPr>
        <w:t>Phone (NY): +1 (212) 998-2277</w:t>
      </w:r>
    </w:p>
    <w:p>
      <w:pPr>
        <w:pStyle w:val="Normal"/>
        <w:numPr>
          <w:ilvl w:val="0"/>
          <w:numId w:val="2"/>
        </w:numPr>
        <w:spacing w:lineRule="auto" w:line="468"/>
        <w:rPr>
          <w:sz w:val="23"/>
          <w:szCs w:val="23"/>
        </w:rPr>
      </w:pPr>
      <w:r>
        <w:rPr>
          <w:sz w:val="23"/>
          <w:szCs w:val="23"/>
        </w:rPr>
        <w:t>Office of the Director, NYU Paris: +33 1 53 92 50 80</w:t>
      </w:r>
    </w:p>
    <w:sectPr>
      <w:footerReference w:type="default" r:id="rId13"/>
      <w:type w:val="nextPage"/>
      <w:pgSz w:w="11906" w:h="16838"/>
      <w:pgMar w:left="1418" w:right="1418" w:gutter="0" w:header="0" w:top="1843" w:footer="705"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on ALLER" w:date="2021-09-08T15:09:00Z" w:initials="MA">
    <w:p>
      <w:r>
        <w:rPr>
          <w:rFonts w:ascii="Liberation Serif" w:hAnsi="Liberation Serif" w:eastAsia="DejaVu Sans" w:cs="DejaVu Sans"/>
          <w:sz w:val="24"/>
          <w:szCs w:val="24"/>
          <w:lang w:eastAsia="en-US" w:bidi="en-US" w:val="fr-FR"/>
        </w:rPr>
        <w:t xml:space="preserve">Merci de retirer la couleur rouge et le surlignage en jaune une fois les données modifiées. </w:t>
      </w:r>
    </w:p>
  </w:comment>
  <w:comment w:id="1" w:author="ALLER LLAMAS Marion" w:date="2021-10-19T15:29:00Z" w:initials="ALM">
    <w:p>
      <w:r>
        <w:rPr>
          <w:rFonts w:ascii="Liberation Serif" w:hAnsi="Liberation Serif" w:eastAsia="DejaVu Sans" w:cs="DejaVu Sans"/>
          <w:sz w:val="24"/>
          <w:szCs w:val="24"/>
          <w:lang w:eastAsia="en-US" w:bidi="en-US" w:val="fr-FR"/>
        </w:rPr>
        <w:t>Merci d’inclure un lien hypertexte vers le site sur Brightspace – il vous sera communiqué ultérieurement</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Bangla M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jc w:val="right"/>
      <w:rPr>
        <w:rFonts w:ascii="Bangla MN" w:hAnsi="Bangla MN" w:eastAsia="Bangla MN" w:cs="Bangla MN"/>
        <w:color w:val="000000"/>
        <w:sz w:val="20"/>
        <w:szCs w:val="2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both"/>
    </w:pPr>
    <w:rPr>
      <w:rFonts w:ascii="Arial" w:hAnsi="Arial" w:eastAsia="Arial" w:cs="Arial"/>
      <w:color w:val="auto"/>
      <w:kern w:val="0"/>
      <w:sz w:val="22"/>
      <w:szCs w:val="22"/>
      <w:lang w:val="en-US" w:eastAsia="fr-FR" w:bidi="ar-SA"/>
    </w:rPr>
  </w:style>
  <w:style w:type="paragraph" w:styleId="Heading1">
    <w:name w:val="Heading 1"/>
    <w:basedOn w:val="Normal"/>
    <w:next w:val="Normal"/>
    <w:uiPriority w:val="9"/>
    <w:qFormat/>
    <w:pPr>
      <w:spacing w:before="480" w:after="0"/>
      <w:outlineLvl w:val="0"/>
    </w:pPr>
    <w:rPr>
      <w:b/>
      <w:sz w:val="28"/>
      <w:szCs w:val="28"/>
    </w:rPr>
  </w:style>
  <w:style w:type="paragraph" w:styleId="Heading2">
    <w:name w:val="Heading 2"/>
    <w:basedOn w:val="Normal"/>
    <w:next w:val="Normal"/>
    <w:uiPriority w:val="9"/>
    <w:unhideWhenUsed/>
    <w:qFormat/>
    <w:pPr>
      <w:spacing w:before="480" w:after="0"/>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8101a"/>
    <w:rPr>
      <w:sz w:val="16"/>
      <w:szCs w:val="16"/>
    </w:rPr>
  </w:style>
  <w:style w:type="character" w:styleId="CommentaireCar" w:customStyle="1">
    <w:name w:val="Commentaire Car"/>
    <w:basedOn w:val="DefaultParagraphFont"/>
    <w:link w:val="Commentaire"/>
    <w:uiPriority w:val="99"/>
    <w:semiHidden/>
    <w:qFormat/>
    <w:rsid w:val="0038101a"/>
    <w:rPr>
      <w:sz w:val="20"/>
      <w:szCs w:val="20"/>
    </w:rPr>
  </w:style>
  <w:style w:type="character" w:styleId="ObjetducommentaireCar" w:customStyle="1">
    <w:name w:val="Objet du commentaire Car"/>
    <w:basedOn w:val="CommentaireCar"/>
    <w:link w:val="Objetducommentaire"/>
    <w:uiPriority w:val="99"/>
    <w:semiHidden/>
    <w:qFormat/>
    <w:rsid w:val="0038101a"/>
    <w:rPr>
      <w:b/>
      <w:bCs/>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uiPriority w:val="10"/>
    <w:qFormat/>
    <w:pPr>
      <w:spacing w:before="0" w:after="480"/>
    </w:pPr>
    <w:rPr>
      <w:sz w:val="56"/>
      <w:szCs w:val="56"/>
    </w:rPr>
  </w:style>
  <w:style w:type="paragraph" w:styleId="Subtitle">
    <w:name w:val="Subtitle"/>
    <w:basedOn w:val="Normal"/>
    <w:next w:val="Normal"/>
    <w:uiPriority w:val="11"/>
    <w:qFormat/>
    <w:pPr>
      <w:spacing w:before="0" w:after="480"/>
    </w:pPr>
    <w:rPr>
      <w:sz w:val="36"/>
      <w:szCs w:val="36"/>
    </w:rPr>
  </w:style>
  <w:style w:type="paragraph" w:styleId="Annotationtext">
    <w:name w:val="annotation text"/>
    <w:basedOn w:val="Normal"/>
    <w:link w:val="CommentaireCar"/>
    <w:uiPriority w:val="99"/>
    <w:semiHidden/>
    <w:unhideWhenUsed/>
    <w:qFormat/>
    <w:rsid w:val="0038101a"/>
    <w:pPr/>
    <w:rPr>
      <w:sz w:val="20"/>
      <w:szCs w:val="20"/>
    </w:rPr>
  </w:style>
  <w:style w:type="paragraph" w:styleId="Annotationsubject">
    <w:name w:val="annotation subject"/>
    <w:basedOn w:val="Annotationtext"/>
    <w:next w:val="Annotationtext"/>
    <w:link w:val="ObjetducommentaireCar"/>
    <w:uiPriority w:val="99"/>
    <w:semiHidden/>
    <w:unhideWhenUsed/>
    <w:qFormat/>
    <w:rsid w:val="0038101a"/>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nyu.paris.academics@nyu.edu" TargetMode="External"/><Relationship Id="rId4" Type="http://schemas.openxmlformats.org/officeDocument/2006/relationships/hyperlink" Target="http://www.nyu.edu/about/policies-guidelines-compliance/policies-and-guidelines/academic-integrity-for-students-at-nyu.html" TargetMode="External"/><Relationship Id="rId5" Type="http://schemas.openxmlformats.org/officeDocument/2006/relationships/hyperlink" Target="http://www.nyu.edu/about/policies-guidelines-compliance/policies-and-guidelines/academic-integrity-for-students-at-nyu.html" TargetMode="External"/><Relationship Id="rId6" Type="http://schemas.openxmlformats.org/officeDocument/2006/relationships/hyperlink" Target="http://nyu.libguides.com/content.php?pid=123054&amp;sid=1057581" TargetMode="External"/><Relationship Id="rId7" Type="http://schemas.openxmlformats.org/officeDocument/2006/relationships/hyperlink" Target="http://www.nyu.edu/about/policies-guidelines-compliance/policies-and-guidelines/university-calendar-policy-on-religious-holidays.html" TargetMode="External"/><Relationship Id="rId8" Type="http://schemas.openxmlformats.org/officeDocument/2006/relationships/hyperlink" Target="https://www.nyu.edu/students/student-information-and-resources/registration-records-and-graduation/forms-policies-procedures/pronouns-and-name-pronunciation.html" TargetMode="External"/><Relationship Id="rId9" Type="http://schemas.openxmlformats.org/officeDocument/2006/relationships/hyperlink" Target="https://www.nyu.edu/life/information-technology/communication-and-collaboration/email-and-communication/nyu-zoom/personalizing-nyu-zoom-display-names.html" TargetMode="External"/><Relationship Id="rId10" Type="http://schemas.openxmlformats.org/officeDocument/2006/relationships/hyperlink" Target="mailto:mosescsd@nyu.edu" TargetMode="External"/><Relationship Id="rId11" Type="http://schemas.openxmlformats.org/officeDocument/2006/relationships/hyperlink" Target="https://nyu.qualtrics.com/jfe/form/SV_55x3HRqPYDsI0uN" TargetMode="External"/><Relationship Id="rId12" Type="http://schemas.openxmlformats.org/officeDocument/2006/relationships/hyperlink" Target="mailto:bias.response@nyu.edu" TargetMode="Externa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5235-72AF-A145-8564-09AE72F1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LibreOffice/7.2.5.2.0$Linux_X86_64 LibreOffice_project/20$Build-2</Application>
  <AppVersion>15.0000</AppVersion>
  <Pages>7</Pages>
  <Words>2218</Words>
  <Characters>11959</Characters>
  <CharactersWithSpaces>14055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2021-10-19T13:30:00Z</dcterms:created>
  <dc:creator/>
  <dc:description/>
  <dc:language>en-US</dc:language>
  <cp:lastModifiedBy/>
  <dcterms:modified xsi:type="dcterms:W3CDTF">2022-01-14T09:33:49Z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