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color w:val="00467F"/>
          <w:sz w:val="32"/>
        </w:rPr>
        <w:t>BÁO CÁO PHÂN TÍCH NGHIÊN CỨU</w:t>
      </w:r>
    </w:p>
    <w:p>
      <w:pPr>
        <w:spacing w:after="80"/>
        <w:jc w:val="center"/>
      </w:pPr>
      <w:r>
        <w:rPr>
          <w:rFonts w:ascii="Times New Roman" w:hAnsi="Times New Roman"/>
          <w:b/>
          <w:i w:val="0"/>
          <w:color w:val="1F497D"/>
          <w:sz w:val="28"/>
        </w:rPr>
        <w:t>Đặc điểm căn nguyên vi sinh và dấu ấn sinh học</w:t>
      </w:r>
    </w:p>
    <w:p>
      <w:pPr>
        <w:spacing w:after="80"/>
        <w:jc w:val="center"/>
      </w:pPr>
      <w:r>
        <w:rPr>
          <w:rFonts w:ascii="Times New Roman" w:hAnsi="Times New Roman"/>
          <w:b/>
          <w:i w:val="0"/>
          <w:color w:val="1F497D"/>
          <w:sz w:val="28"/>
        </w:rPr>
        <w:t>ở bệnh nhân Viêm phổi mắc phải cộng đồng (CAP)</w:t>
      </w:r>
    </w:p>
    <w:p>
      <w:pPr>
        <w:spacing w:after="160"/>
        <w:jc w:val="center"/>
      </w:pPr>
      <w:r>
        <w:rPr>
          <w:rFonts w:ascii="Times New Roman" w:hAnsi="Times New Roman"/>
          <w:b/>
          <w:i w:val="0"/>
          <w:color w:val="1F497D"/>
          <w:sz w:val="26"/>
        </w:rPr>
        <w:t>Bệnh viện Phổi Hải Phòng</w:t>
      </w:r>
    </w:p>
    <w:p>
      <w:pPr>
        <w:spacing w:after="120"/>
        <w:jc w:val="center"/>
      </w:pPr>
      <w:r>
        <w:rPr>
          <w:rFonts w:ascii="Times New Roman" w:hAnsi="Times New Roman"/>
          <w:b w:val="0"/>
          <w:i w:val="0"/>
          <w:sz w:val="22"/>
        </w:rPr>
        <w:t>────────────────────────────────────────────────────────────</w:t>
      </w:r>
    </w:p>
    <w:p>
      <w:pPr>
        <w:spacing w:after="80"/>
        <w:jc w:val="center"/>
      </w:pPr>
      <w:r>
        <w:rPr>
          <w:rFonts w:ascii="Times New Roman" w:hAnsi="Times New Roman"/>
          <w:b w:val="0"/>
          <w:i/>
          <w:color w:val="808080"/>
          <w:sz w:val="24"/>
        </w:rPr>
        <w:t>Phiên 2 | Cập nhật: 2026-06-11</w:t>
      </w:r>
    </w:p>
    <w:p>
      <w:pPr>
        <w:spacing w:after="80"/>
        <w:jc w:val="center"/>
      </w:pPr>
      <w:r>
        <w:rPr>
          <w:rFonts w:ascii="Times New Roman" w:hAnsi="Times New Roman"/>
          <w:b w:val="0"/>
          <w:i/>
          <w:color w:val="808080"/>
          <w:sz w:val="24"/>
        </w:rPr>
        <w:t>Tài liệu: 50 nguồn (30 phiên 1 + 20 phiên 2)</w:t>
      </w:r>
    </w:p>
    <w:p>
      <w:pPr>
        <w:spacing w:after="400"/>
        <w:jc w:val="center"/>
      </w:pPr>
      <w:r>
        <w:rPr>
          <w:rFonts w:ascii="Times New Roman" w:hAnsi="Times New Roman"/>
          <w:b w:val="0"/>
          <w:i/>
          <w:color w:val="008000"/>
          <w:sz w:val="24"/>
        </w:rPr>
        <w:t>Kiểm tra retraction: PASS — không có bài nào bị thu hồi</w:t>
      </w:r>
    </w:p>
    <w:p>
      <w:r>
        <w:br w:type="page"/>
      </w:r>
    </w:p>
    <w:p>
      <w:pPr>
        <w:spacing w:before="280" w:after="120"/>
      </w:pPr>
      <w:r>
        <w:rPr>
          <w:rFonts w:ascii="Times New Roman" w:hAnsi="Times New Roman"/>
          <w:b/>
          <w:color w:val="00467F"/>
          <w:sz w:val="28"/>
        </w:rPr>
        <w:t>I. TÓM TẮT ĐỀ TÀI</w:t>
      </w:r>
    </w:p>
    <w:p>
      <w:pPr>
        <w:spacing w:after="80"/>
      </w:pPr>
      <w:r>
        <w:rPr>
          <w:rFonts w:ascii="Times New Roman" w:hAnsi="Times New Roman"/>
          <w:b w:val="0"/>
          <w:i w:val="0"/>
          <w:sz w:val="26"/>
        </w:rPr>
        <w:t>Đề tài tiến sĩ nghiên cứu đặc điểm lâm sàng, cận lâm sàng, căn nguyên vi sinh và nồng độ dấu ấn sinh học sTREM-1, TIMP-1, IL-6, IL-10, IL-17 ở bệnh nhân CAP có PCR đa mồi dương tính tại Bệnh viện Phổi Hải Phòng. Báo cáo này tổng hợp bằng chứng khoa học quốc tế và trong nước qua 2 phiên nghiên cứu tài liệu.</w:t>
      </w:r>
    </w:p>
    <w:p>
      <w:pPr>
        <w:spacing w:before="200" w:after="80"/>
      </w:pPr>
      <w:r>
        <w:rPr>
          <w:rFonts w:ascii="Times New Roman" w:hAnsi="Times New Roman"/>
          <w:b/>
          <w:color w:val="1F497D"/>
          <w:sz w:val="26"/>
        </w:rPr>
        <w:t>Hai mục tiêu nghiên cứu</w:t>
      </w:r>
    </w:p>
    <w:p>
      <w:pPr>
        <w:spacing w:after="60"/>
        <w:ind w:left="567" w:hanging="283"/>
      </w:pPr>
      <w:r>
        <w:rPr>
          <w:rFonts w:ascii="Times New Roman" w:hAnsi="Times New Roman"/>
          <w:sz w:val="26"/>
        </w:rPr>
        <w:t>• Mục tiêu 1 (Mô tả): Mô tả đặc điểm lâm sàng, cận lâm sàng, căn nguyên vi sinh và nồng độ sTREM-1, TIMP-1, IL-6, IL-10, IL-17 ở bệnh nhân CAP có PCR đa mồi dương tính nhập viện tại Bệnh viện Phổi Hải Phòng.</w:t>
      </w:r>
    </w:p>
    <w:p>
      <w:pPr>
        <w:spacing w:after="60"/>
        <w:ind w:left="567" w:hanging="283"/>
      </w:pPr>
      <w:r>
        <w:rPr>
          <w:rFonts w:ascii="Times New Roman" w:hAnsi="Times New Roman"/>
          <w:sz w:val="26"/>
        </w:rPr>
        <w:t>• Mục tiêu 2 (Liên quan): Xác định mối liên quan giữa nồng độ các dấu ấn sinh học với căn nguyên vi sinh, mức độ nặng (PSI) và kết cục điều trị.</w:t>
      </w:r>
    </w:p>
    <w:p>
      <w:pPr>
        <w:spacing w:before="200" w:after="80"/>
      </w:pPr>
      <w:r>
        <w:rPr>
          <w:rFonts w:ascii="Times New Roman" w:hAnsi="Times New Roman"/>
          <w:b/>
          <w:color w:val="1F497D"/>
          <w:sz w:val="26"/>
        </w:rPr>
        <w:t>Cỡ mẫu và tiêu chuẩn chọn</w:t>
      </w:r>
    </w:p>
    <w:p>
      <w:pPr>
        <w:spacing w:after="80"/>
      </w:pPr>
      <w:r>
        <w:rPr>
          <w:rFonts w:ascii="Times New Roman" w:hAnsi="Times New Roman"/>
          <w:b w:val="0"/>
          <w:i w:val="0"/>
          <w:sz w:val="26"/>
        </w:rPr>
        <w:t>n ≥ 119 (công thức tỷ lệ, p = 92,2% từ Phan HT Vy 2025). Bao gồm: CAP ≥ 16 tuổi có PCR multiplex dương tính tại MEDLATEC (ISO 15189). Loại trừ: lao phổi, áp xe phổi, giãn phế quản, COPD mất bù, ung thư giai đoạn cuối, suy giảm miễn dịch nặng, corticosteroid &gt; 2 tuần.</w:t>
      </w:r>
    </w:p>
    <w:p>
      <w:pPr>
        <w:spacing w:before="200" w:after="80"/>
      </w:pPr>
      <w:r>
        <w:rPr>
          <w:rFonts w:ascii="Times New Roman" w:hAnsi="Times New Roman"/>
          <w:b/>
          <w:color w:val="1F497D"/>
          <w:sz w:val="26"/>
        </w:rPr>
        <w:t>Phương pháp đo biomarker</w:t>
      </w:r>
    </w:p>
    <w:p>
      <w:pPr>
        <w:spacing w:after="80"/>
      </w:pPr>
      <w:r>
        <w:rPr>
          <w:rFonts w:ascii="Times New Roman" w:hAnsi="Times New Roman"/>
          <w:b w:val="0"/>
          <w:i w:val="0"/>
          <w:sz w:val="26"/>
        </w:rPr>
        <w:t>Tất cả 5 biomarker (sTREM-1, TIMP-1, IL-6, IL-10, IL-17) đo bằng ELISA tại Học viện Quân y từ huyết thanh ngày 1 nhập viện.</w:t>
      </w:r>
    </w:p>
    <w:p>
      <w:r>
        <w:br w:type="page"/>
      </w:r>
    </w:p>
    <w:p>
      <w:pPr>
        <w:spacing w:before="280" w:after="120"/>
      </w:pPr>
      <w:r>
        <w:rPr>
          <w:rFonts w:ascii="Times New Roman" w:hAnsi="Times New Roman"/>
          <w:b/>
          <w:color w:val="00467F"/>
          <w:sz w:val="28"/>
        </w:rPr>
        <w:t>II. VẤN ĐỀ KHẨN CẤP CẦN XỬ LÝ NGAY</w:t>
      </w:r>
    </w:p>
    <w:p>
      <w:pPr>
        <w:spacing w:before="120" w:after="120"/>
        <w:ind w:left="283" w:right="283"/>
        <w:pBdr>
          <w:top w:val="single" w:sz="12" w:space="4" w:color="C0504D"/>
          <w:left w:val="single" w:sz="12" w:space="4" w:color="C0504D"/>
          <w:bottom w:val="single" w:sz="12" w:space="4" w:color="C0504D"/>
          <w:right w:val="single" w:sz="12" w:space="4" w:color="C0504D"/>
        </w:pBdr>
      </w:pPr>
      <w:r>
        <w:rPr>
          <w:rFonts w:ascii="Times New Roman" w:hAnsi="Times New Roman"/>
          <w:b/>
          <w:color w:val="C0504D"/>
          <w:sz w:val="26"/>
        </w:rPr>
        <w:t>⚠ PCR đa mồi là TIÊU CHUẨN CHỌN MẪU nhưng KHÔNG CÓ trong app hiện tại</w:t>
      </w:r>
    </w:p>
    <w:p>
      <w:pPr>
        <w:spacing w:after="80"/>
      </w:pPr>
      <w:r>
        <w:rPr>
          <w:rFonts w:ascii="Times New Roman" w:hAnsi="Times New Roman"/>
          <w:b w:val="0"/>
          <w:i w:val="0"/>
          <w:sz w:val="26"/>
        </w:rPr>
        <w:t>Spec.md (Section 6) ghi rõ: "Biến số chưa có: PCR đa mồi (multiplex)". App chỉ lưu kết quả cấy vi khuẩn (viKhuan[]) — không có trường nào ghi nhận kết quả PCR. Nếu không bổ sung ngay, toàn bộ 119 bệnh nhân sẽ không thể phân tích pattern cytokine theo tác nhân PCR (Bảng A2, A3).</w:t>
      </w:r>
    </w:p>
    <w:p>
      <w:pPr>
        <w:spacing w:before="200" w:after="80"/>
      </w:pPr>
      <w:r>
        <w:rPr>
          <w:rFonts w:ascii="Times New Roman" w:hAnsi="Times New Roman"/>
          <w:b/>
          <w:color w:val="1F497D"/>
          <w:sz w:val="26"/>
        </w:rPr>
        <w:t>Giải pháp kỹ thuật</w:t>
      </w:r>
    </w:p>
    <w:p>
      <w:pPr>
        <w:spacing w:after="80"/>
      </w:pPr>
      <w:r>
        <w:rPr>
          <w:rFonts w:ascii="Times New Roman" w:hAnsi="Times New Roman"/>
          <w:b w:val="0"/>
          <w:i w:val="0"/>
          <w:sz w:val="26"/>
        </w:rPr>
        <w:t>Thêm module PCR vào app với cấu trúc JSON sau:</w:t>
      </w:r>
    </w:p>
    <w:p>
      <w:pPr>
        <w:spacing w:after="80"/>
        <w:ind w:left="567"/>
      </w:pPr>
      <w:r>
        <w:rPr>
          <w:rFonts w:ascii="Times New Roman" w:hAnsi="Times New Roman"/>
          <w:b/>
          <w:i w:val="0"/>
          <w:color w:val="00467F"/>
          <w:sz w:val="26"/>
        </w:rPr>
        <w:t>pcr: { ngayXetNghiem: string, tacNhan: string[] (multi-select), soLuong: number, phanLoai: "dien_hinh" | "khong_dien_hinh" | "virus" | "nam" }</w:t>
      </w:r>
    </w:p>
    <w:p>
      <w:pPr>
        <w:spacing w:before="200" w:after="80"/>
      </w:pPr>
      <w:r>
        <w:rPr>
          <w:rFonts w:ascii="Times New Roman" w:hAnsi="Times New Roman"/>
          <w:b/>
          <w:color w:val="1F497D"/>
          <w:sz w:val="26"/>
        </w:rPr>
        <w:t>Bằng chứng khoa học cho PCR multiplex</w:t>
      </w:r>
    </w:p>
    <w:p>
      <w:pPr>
        <w:spacing w:after="80"/>
      </w:pPr>
      <w:r>
        <w:rPr>
          <w:rFonts w:ascii="Times New Roman" w:hAnsi="Times New Roman"/>
          <w:b w:val="0"/>
          <w:i w:val="0"/>
          <w:sz w:val="26"/>
        </w:rPr>
        <w:t>Cartuliares et al. (PLOS Medicine 2023) — RCT tại Đan Mạch (n=294): PCR đa mồi tại điểm chăm sóc giúp điều trị kháng sinh trúng đích hơn tại 4 giờ (OR 5,68; 95%CI 2,49–12,94) và 48 giờ (OR 4,20; 95%CI 1,87–9,40) so với nuôi cấy tiêu chuẩn [43].</w:t>
      </w:r>
    </w:p>
    <w:p>
      <w:pPr>
        <w:spacing w:after="80"/>
      </w:pPr>
      <w:r>
        <w:rPr>
          <w:rFonts w:ascii="Times New Roman" w:hAnsi="Times New Roman"/>
          <w:b w:val="0"/>
          <w:i w:val="0"/>
          <w:sz w:val="26"/>
        </w:rPr>
        <w:t>Chang et al. (J Med Sci 2026) — Taiwan: 50% bệnh nhân CAP có đồng nhiễm ≥2 tác nhân khi dùng multiplex PCR FilmArray; vi-rút-vi khuẩn là hình thái đồng nhiễm phổ biến nhất [45].</w:t>
      </w:r>
    </w:p>
    <w:p>
      <w:pPr>
        <w:spacing w:after="80"/>
      </w:pPr>
      <w:r>
        <w:rPr>
          <w:rFonts w:ascii="Times New Roman" w:hAnsi="Times New Roman"/>
          <w:b w:val="0"/>
          <w:i w:val="0"/>
          <w:sz w:val="26"/>
        </w:rPr>
        <w:t>Rothe et al. (Infection 2021) — CAPNETZ Đức: S. aureus (27%), H. influenzae (13,5%), S. pneumoniae (5,5%) là tác nhân thường gặp nhất qua PCR đa mồi trên dịch tị hầu [44].</w:t>
      </w:r>
    </w:p>
    <w:p>
      <w:r>
        <w:br w:type="page"/>
      </w:r>
    </w:p>
    <w:p>
      <w:pPr>
        <w:spacing w:before="280" w:after="120"/>
      </w:pPr>
      <w:r>
        <w:rPr>
          <w:rFonts w:ascii="Times New Roman" w:hAnsi="Times New Roman"/>
          <w:b/>
          <w:color w:val="00467F"/>
          <w:sz w:val="28"/>
        </w:rPr>
        <w:t>III. TRẠNG THÁI MCP VÀ KIỂM TRA RETRACTION</w:t>
      </w:r>
    </w:p>
    <w:p>
      <w:pPr>
        <w:spacing w:before="200" w:after="80"/>
      </w:pPr>
      <w:r>
        <w:rPr>
          <w:rFonts w:ascii="Times New Roman" w:hAnsi="Times New Roman"/>
          <w:b/>
          <w:color w:val="1F497D"/>
          <w:sz w:val="26"/>
        </w:rPr>
        <w:t>MCP hoạt động trong phiên 2</w:t>
      </w:r>
    </w:p>
    <w:tbl>
      <w:tblPr>
        <w:tblStyle w:val="TableGrid"/>
        <w:tblW w:type="auto" w:w="0"/>
        <w:jc w:val="center"/>
        <w:tblLook w:firstColumn="1" w:firstRow="1" w:lastColumn="0" w:lastRow="0" w:noHBand="0" w:noVBand="1" w:val="04A0"/>
      </w:tblPr>
      <w:tblGrid>
        <w:gridCol w:w="3024"/>
        <w:gridCol w:w="3024"/>
        <w:gridCol w:w="3024"/>
      </w:tblGrid>
      <w:tr>
        <w:trPr>
          <w:trHeight w:val="510"/>
        </w:trPr>
        <w:tc>
          <w:tcPr>
            <w:tcW w:type="dxa" w:w="2551"/>
            <w:vAlign w:val="center"/>
            <w:shd w:val="clear" w:color="auto" w:fill="1F497D"/>
          </w:tcPr>
          <w:p>
            <w:pPr>
              <w:jc w:val="center"/>
            </w:pPr>
            <w:r>
              <w:rPr>
                <w:rFonts w:ascii="Times New Roman" w:hAnsi="Times New Roman"/>
                <w:b/>
                <w:color w:val="FFFFFF"/>
                <w:sz w:val="24"/>
              </w:rPr>
              <w:t>MCP</w:t>
            </w:r>
          </w:p>
        </w:tc>
        <w:tc>
          <w:tcPr>
            <w:tcW w:type="dxa" w:w="1984"/>
            <w:vAlign w:val="center"/>
            <w:shd w:val="clear" w:color="auto" w:fill="1F497D"/>
          </w:tcPr>
          <w:p>
            <w:pPr>
              <w:jc w:val="center"/>
            </w:pPr>
            <w:r>
              <w:rPr>
                <w:rFonts w:ascii="Times New Roman" w:hAnsi="Times New Roman"/>
                <w:b/>
                <w:color w:val="FFFFFF"/>
                <w:sz w:val="24"/>
              </w:rPr>
              <w:t>Trạng thái</w:t>
            </w:r>
          </w:p>
        </w:tc>
        <w:tc>
          <w:tcPr>
            <w:tcW w:type="dxa" w:w="4252"/>
            <w:vAlign w:val="center"/>
            <w:shd w:val="clear" w:color="auto" w:fill="1F497D"/>
          </w:tcPr>
          <w:p>
            <w:pPr>
              <w:jc w:val="center"/>
            </w:pPr>
            <w:r>
              <w:rPr>
                <w:rFonts w:ascii="Times New Roman" w:hAnsi="Times New Roman"/>
                <w:b/>
                <w:color w:val="FFFFFF"/>
                <w:sz w:val="24"/>
              </w:rPr>
              <w:t>Kết quả</w:t>
            </w:r>
          </w:p>
        </w:tc>
      </w:tr>
      <w:tr>
        <w:tc>
          <w:tcPr>
            <w:tcW w:type="dxa" w:w="2551"/>
            <w:vAlign w:val="center"/>
            <w:shd w:val="clear" w:color="auto" w:fill="EEF4FB"/>
          </w:tcPr>
          <w:p>
            <w:pPr>
              <w:jc w:val="center"/>
            </w:pPr>
            <w:r>
              <w:rPr>
                <w:rFonts w:ascii="Times New Roman" w:hAnsi="Times New Roman"/>
                <w:b w:val="0"/>
                <w:sz w:val="23"/>
              </w:rPr>
              <w:t>consensus</w:t>
            </w:r>
          </w:p>
        </w:tc>
        <w:tc>
          <w:tcPr>
            <w:tcW w:type="dxa" w:w="1984"/>
            <w:vAlign w:val="center"/>
            <w:shd w:val="clear" w:color="auto" w:fill="EEF4FB"/>
          </w:tcPr>
          <w:p>
            <w:pPr>
              <w:jc w:val="center"/>
            </w:pPr>
            <w:r>
              <w:rPr>
                <w:rFonts w:ascii="Times New Roman" w:hAnsi="Times New Roman"/>
                <w:b w:val="0"/>
                <w:sz w:val="23"/>
              </w:rPr>
              <w:t>✅ Kết nối</w:t>
            </w:r>
          </w:p>
        </w:tc>
        <w:tc>
          <w:tcPr>
            <w:tcW w:type="dxa" w:w="4252"/>
            <w:vAlign w:val="center"/>
            <w:shd w:val="clear" w:color="auto" w:fill="EEF4FB"/>
          </w:tcPr>
          <w:p>
            <w:pPr>
              <w:jc w:val="center"/>
            </w:pPr>
            <w:r>
              <w:rPr>
                <w:rFonts w:ascii="Times New Roman" w:hAnsi="Times New Roman"/>
                <w:b w:val="0"/>
                <w:sz w:val="23"/>
              </w:rPr>
              <w:t>6 batch queries — ~36 papers</w:t>
            </w:r>
          </w:p>
        </w:tc>
      </w:tr>
      <w:tr>
        <w:tc>
          <w:tcPr>
            <w:tcW w:type="dxa" w:w="2551"/>
            <w:vAlign w:val="center"/>
            <w:shd w:val="clear" w:color="auto" w:fill="FFFFFF"/>
          </w:tcPr>
          <w:p>
            <w:pPr>
              <w:jc w:val="center"/>
            </w:pPr>
            <w:r>
              <w:rPr>
                <w:rFonts w:ascii="Times New Roman" w:hAnsi="Times New Roman"/>
                <w:b w:val="0"/>
                <w:sz w:val="23"/>
              </w:rPr>
              <w:t>YHVN Vercel API</w:t>
            </w:r>
          </w:p>
        </w:tc>
        <w:tc>
          <w:tcPr>
            <w:tcW w:type="dxa" w:w="1984"/>
            <w:vAlign w:val="center"/>
            <w:shd w:val="clear" w:color="auto" w:fill="FFFFFF"/>
          </w:tcPr>
          <w:p>
            <w:pPr>
              <w:jc w:val="center"/>
            </w:pPr>
            <w:r>
              <w:rPr>
                <w:rFonts w:ascii="Times New Roman" w:hAnsi="Times New Roman"/>
                <w:b w:val="0"/>
                <w:sz w:val="23"/>
              </w:rPr>
              <w:t>✅ Hoạt động (một phần)</w:t>
            </w:r>
          </w:p>
        </w:tc>
        <w:tc>
          <w:tcPr>
            <w:tcW w:type="dxa" w:w="4252"/>
            <w:vAlign w:val="center"/>
            <w:shd w:val="clear" w:color="auto" w:fill="FFFFFF"/>
          </w:tcPr>
          <w:p>
            <w:pPr>
              <w:jc w:val="center"/>
            </w:pPr>
            <w:r>
              <w:rPr>
                <w:rFonts w:ascii="Times New Roman" w:hAnsi="Times New Roman"/>
                <w:b w:val="0"/>
                <w:sz w:val="23"/>
              </w:rPr>
              <w:t>14 bài viêm phổi từ phiên 1 query</w:t>
            </w:r>
          </w:p>
        </w:tc>
      </w:tr>
      <w:tr>
        <w:tc>
          <w:tcPr>
            <w:tcW w:type="dxa" w:w="2551"/>
            <w:vAlign w:val="center"/>
            <w:shd w:val="clear" w:color="auto" w:fill="EEF4FB"/>
          </w:tcPr>
          <w:p>
            <w:pPr>
              <w:jc w:val="center"/>
            </w:pPr>
            <w:r>
              <w:rPr>
                <w:rFonts w:ascii="Times New Roman" w:hAnsi="Times New Roman"/>
                <w:b w:val="0"/>
                <w:sz w:val="23"/>
              </w:rPr>
              <w:t>WebSearch</w:t>
            </w:r>
          </w:p>
        </w:tc>
        <w:tc>
          <w:tcPr>
            <w:tcW w:type="dxa" w:w="1984"/>
            <w:vAlign w:val="center"/>
            <w:shd w:val="clear" w:color="auto" w:fill="EEF4FB"/>
          </w:tcPr>
          <w:p>
            <w:pPr>
              <w:jc w:val="center"/>
            </w:pPr>
            <w:r>
              <w:rPr>
                <w:rFonts w:ascii="Times New Roman" w:hAnsi="Times New Roman"/>
                <w:b w:val="0"/>
                <w:sz w:val="23"/>
              </w:rPr>
              <w:t>✅ Hoạt động</w:t>
            </w:r>
          </w:p>
        </w:tc>
        <w:tc>
          <w:tcPr>
            <w:tcW w:type="dxa" w:w="4252"/>
            <w:vAlign w:val="center"/>
            <w:shd w:val="clear" w:color="auto" w:fill="EEF4FB"/>
          </w:tcPr>
          <w:p>
            <w:pPr>
              <w:jc w:val="center"/>
            </w:pPr>
            <w:r>
              <w:rPr>
                <w:rFonts w:ascii="Times New Roman" w:hAnsi="Times New Roman"/>
                <w:b w:val="0"/>
                <w:sz w:val="23"/>
              </w:rPr>
              <w:t>Kiểm tra retraction, sTREM-1 Vietnam</w:t>
            </w:r>
          </w:p>
        </w:tc>
      </w:tr>
      <w:tr>
        <w:tc>
          <w:tcPr>
            <w:tcW w:type="dxa" w:w="2551"/>
            <w:vAlign w:val="center"/>
            <w:shd w:val="clear" w:color="auto" w:fill="FFFFFF"/>
          </w:tcPr>
          <w:p>
            <w:pPr>
              <w:jc w:val="center"/>
            </w:pPr>
            <w:r>
              <w:rPr>
                <w:rFonts w:ascii="Times New Roman" w:hAnsi="Times New Roman"/>
                <w:b w:val="0"/>
                <w:sz w:val="23"/>
              </w:rPr>
              <w:t>pubmed-extended</w:t>
            </w:r>
          </w:p>
        </w:tc>
        <w:tc>
          <w:tcPr>
            <w:tcW w:type="dxa" w:w="1984"/>
            <w:vAlign w:val="center"/>
            <w:shd w:val="clear" w:color="auto" w:fill="FFFFFF"/>
          </w:tcPr>
          <w:p>
            <w:pPr>
              <w:jc w:val="center"/>
            </w:pPr>
            <w:r>
              <w:rPr>
                <w:rFonts w:ascii="Times New Roman" w:hAnsi="Times New Roman"/>
                <w:b w:val="0"/>
                <w:sz w:val="23"/>
              </w:rPr>
              <w:t>❌ Chưa spawn</w:t>
            </w:r>
          </w:p>
        </w:tc>
        <w:tc>
          <w:tcPr>
            <w:tcW w:type="dxa" w:w="4252"/>
            <w:vAlign w:val="center"/>
            <w:shd w:val="clear" w:color="auto" w:fill="FFFFFF"/>
          </w:tcPr>
          <w:p>
            <w:pPr>
              <w:jc w:val="center"/>
            </w:pPr>
            <w:r>
              <w:rPr>
                <w:rFonts w:ascii="Times New Roman" w:hAnsi="Times New Roman"/>
                <w:b w:val="0"/>
                <w:sz w:val="23"/>
              </w:rPr>
              <w:t>Cần restart VSCode extension</w:t>
            </w:r>
          </w:p>
        </w:tc>
      </w:tr>
      <w:tr>
        <w:tc>
          <w:tcPr>
            <w:tcW w:type="dxa" w:w="2551"/>
            <w:vAlign w:val="center"/>
            <w:shd w:val="clear" w:color="auto" w:fill="EEF4FB"/>
          </w:tcPr>
          <w:p>
            <w:pPr>
              <w:jc w:val="center"/>
            </w:pPr>
            <w:r>
              <w:rPr>
                <w:rFonts w:ascii="Times New Roman" w:hAnsi="Times New Roman"/>
                <w:b w:val="0"/>
                <w:sz w:val="23"/>
              </w:rPr>
              <w:t>scopus, arxiv, semantic-scholar</w:t>
            </w:r>
          </w:p>
        </w:tc>
        <w:tc>
          <w:tcPr>
            <w:tcW w:type="dxa" w:w="1984"/>
            <w:vAlign w:val="center"/>
            <w:shd w:val="clear" w:color="auto" w:fill="EEF4FB"/>
          </w:tcPr>
          <w:p>
            <w:pPr>
              <w:jc w:val="center"/>
            </w:pPr>
            <w:r>
              <w:rPr>
                <w:rFonts w:ascii="Times New Roman" w:hAnsi="Times New Roman"/>
                <w:b w:val="0"/>
                <w:sz w:val="23"/>
              </w:rPr>
              <w:t>❌ Chưa spawn</w:t>
            </w:r>
          </w:p>
        </w:tc>
        <w:tc>
          <w:tcPr>
            <w:tcW w:type="dxa" w:w="4252"/>
            <w:vAlign w:val="center"/>
            <w:shd w:val="clear" w:color="auto" w:fill="EEF4FB"/>
          </w:tcPr>
          <w:p>
            <w:pPr>
              <w:jc w:val="center"/>
            </w:pPr>
            <w:r>
              <w:rPr>
                <w:rFonts w:ascii="Times New Roman" w:hAnsi="Times New Roman"/>
                <w:b w:val="0"/>
                <w:sz w:val="23"/>
              </w:rPr>
              <w:t>Cần restart VSCode extension</w:t>
            </w:r>
          </w:p>
        </w:tc>
      </w:tr>
      <w:tr>
        <w:tc>
          <w:tcPr>
            <w:tcW w:type="dxa" w:w="2551"/>
            <w:vAlign w:val="center"/>
            <w:shd w:val="clear" w:color="auto" w:fill="FFFFFF"/>
          </w:tcPr>
          <w:p>
            <w:pPr>
              <w:jc w:val="center"/>
            </w:pPr>
            <w:r>
              <w:rPr>
                <w:rFonts w:ascii="Times New Roman" w:hAnsi="Times New Roman"/>
                <w:b w:val="0"/>
                <w:sz w:val="23"/>
              </w:rPr>
              <w:t>scholar-sidekick</w:t>
            </w:r>
          </w:p>
        </w:tc>
        <w:tc>
          <w:tcPr>
            <w:tcW w:type="dxa" w:w="1984"/>
            <w:vAlign w:val="center"/>
            <w:shd w:val="clear" w:color="auto" w:fill="FFFFFF"/>
          </w:tcPr>
          <w:p>
            <w:pPr>
              <w:jc w:val="center"/>
            </w:pPr>
            <w:r>
              <w:rPr>
                <w:rFonts w:ascii="Times New Roman" w:hAnsi="Times New Roman"/>
                <w:b w:val="0"/>
                <w:sz w:val="23"/>
              </w:rPr>
              <w:t>❌ Chưa spawn</w:t>
            </w:r>
          </w:p>
        </w:tc>
        <w:tc>
          <w:tcPr>
            <w:tcW w:type="dxa" w:w="4252"/>
            <w:vAlign w:val="center"/>
            <w:shd w:val="clear" w:color="auto" w:fill="FFFFFF"/>
          </w:tcPr>
          <w:p>
            <w:pPr>
              <w:jc w:val="center"/>
            </w:pPr>
            <w:r>
              <w:rPr>
                <w:rFonts w:ascii="Times New Roman" w:hAnsi="Times New Roman"/>
                <w:b w:val="0"/>
                <w:sz w:val="23"/>
              </w:rPr>
              <w:t>Dùng WebSearch fallback</w:t>
            </w:r>
          </w:p>
        </w:tc>
      </w:tr>
      <w:tr>
        <w:tc>
          <w:tcPr>
            <w:tcW w:type="dxa" w:w="2551"/>
            <w:vAlign w:val="center"/>
            <w:shd w:val="clear" w:color="auto" w:fill="EEF4FB"/>
          </w:tcPr>
          <w:p>
            <w:pPr>
              <w:jc w:val="center"/>
            </w:pPr>
            <w:r>
              <w:rPr>
                <w:rFonts w:ascii="Times New Roman" w:hAnsi="Times New Roman"/>
                <w:b w:val="0"/>
                <w:sz w:val="23"/>
              </w:rPr>
              <w:t>yhvn-bigquery</w:t>
            </w:r>
          </w:p>
        </w:tc>
        <w:tc>
          <w:tcPr>
            <w:tcW w:type="dxa" w:w="1984"/>
            <w:vAlign w:val="center"/>
            <w:shd w:val="clear" w:color="auto" w:fill="EEF4FB"/>
          </w:tcPr>
          <w:p>
            <w:pPr>
              <w:jc w:val="center"/>
            </w:pPr>
            <w:r>
              <w:rPr>
                <w:rFonts w:ascii="Times New Roman" w:hAnsi="Times New Roman"/>
                <w:b w:val="0"/>
                <w:sz w:val="23"/>
              </w:rPr>
              <w:t>❌ Chưa spawn</w:t>
            </w:r>
          </w:p>
        </w:tc>
        <w:tc>
          <w:tcPr>
            <w:tcW w:type="dxa" w:w="4252"/>
            <w:vAlign w:val="center"/>
            <w:shd w:val="clear" w:color="auto" w:fill="EEF4FB"/>
          </w:tcPr>
          <w:p>
            <w:pPr>
              <w:jc w:val="center"/>
            </w:pPr>
            <w:r>
              <w:rPr>
                <w:rFonts w:ascii="Times New Roman" w:hAnsi="Times New Roman"/>
                <w:b w:val="0"/>
                <w:sz w:val="23"/>
              </w:rPr>
              <w:t>Dùng Vercel API fallback</w:t>
            </w:r>
          </w:p>
        </w:tc>
      </w:tr>
    </w:tbl>
    <w:p>
      <w:pPr>
        <w:spacing w:before="200" w:after="80"/>
      </w:pPr>
      <w:r>
        <w:rPr>
          <w:rFonts w:ascii="Times New Roman" w:hAnsi="Times New Roman"/>
          <w:b/>
          <w:color w:val="1F497D"/>
          <w:sz w:val="26"/>
        </w:rPr>
        <w:t>Kết quả kiểm tra retraction (WebSearch)</w:t>
      </w:r>
    </w:p>
    <w:p>
      <w:pPr>
        <w:spacing w:before="80" w:after="120"/>
        <w:ind w:left="283" w:right="283"/>
        <w:pBdr>
          <w:top w:val="single" w:sz="12" w:space="4" w:color="1F497D"/>
          <w:left w:val="single" w:sz="12" w:space="4" w:color="1F497D"/>
          <w:bottom w:val="single" w:sz="12" w:space="4" w:color="1F497D"/>
          <w:right w:val="single" w:sz="12" w:space="4" w:color="1F497D"/>
        </w:pBdr>
      </w:pPr>
      <w:r>
        <w:rPr>
          <w:rFonts w:ascii="Times New Roman" w:hAnsi="Times New Roman"/>
          <w:color w:val="1F497D"/>
          <w:sz w:val="26"/>
        </w:rPr>
        <w:t>KẾT QUẢ: Tất cả tài liệu quan trọng được kiểm tra đều KHÔNG bị thu hồi (không retracted)</w:t>
      </w:r>
    </w:p>
    <w:tbl>
      <w:tblPr>
        <w:tblStyle w:val="TableGrid"/>
        <w:tblW w:type="auto" w:w="0"/>
        <w:jc w:val="center"/>
        <w:tblLook w:firstColumn="1" w:firstRow="1" w:lastColumn="0" w:lastRow="0" w:noHBand="0" w:noVBand="1" w:val="04A0"/>
      </w:tblPr>
      <w:tblGrid>
        <w:gridCol w:w="3024"/>
        <w:gridCol w:w="3024"/>
        <w:gridCol w:w="3024"/>
      </w:tblGrid>
      <w:tr>
        <w:trPr>
          <w:trHeight w:val="510"/>
        </w:trPr>
        <w:tc>
          <w:tcPr>
            <w:tcW w:type="dxa" w:w="3685"/>
            <w:vAlign w:val="center"/>
            <w:shd w:val="clear" w:color="auto" w:fill="1F497D"/>
          </w:tcPr>
          <w:p>
            <w:pPr>
              <w:jc w:val="center"/>
            </w:pPr>
            <w:r>
              <w:rPr>
                <w:rFonts w:ascii="Times New Roman" w:hAnsi="Times New Roman"/>
                <w:b/>
                <w:color w:val="FFFFFF"/>
                <w:sz w:val="24"/>
              </w:rPr>
              <w:t>Tài liệu</w:t>
            </w:r>
          </w:p>
        </w:tc>
        <w:tc>
          <w:tcPr>
            <w:tcW w:type="dxa" w:w="2268"/>
            <w:vAlign w:val="center"/>
            <w:shd w:val="clear" w:color="auto" w:fill="1F497D"/>
          </w:tcPr>
          <w:p>
            <w:pPr>
              <w:jc w:val="center"/>
            </w:pPr>
            <w:r>
              <w:rPr>
                <w:rFonts w:ascii="Times New Roman" w:hAnsi="Times New Roman"/>
                <w:b/>
                <w:color w:val="FFFFFF"/>
                <w:sz w:val="24"/>
              </w:rPr>
              <w:t>Tạp chí</w:t>
            </w:r>
          </w:p>
        </w:tc>
        <w:tc>
          <w:tcPr>
            <w:tcW w:type="dxa" w:w="2835"/>
            <w:vAlign w:val="center"/>
            <w:shd w:val="clear" w:color="auto" w:fill="1F497D"/>
          </w:tcPr>
          <w:p>
            <w:pPr>
              <w:jc w:val="center"/>
            </w:pPr>
            <w:r>
              <w:rPr>
                <w:rFonts w:ascii="Times New Roman" w:hAnsi="Times New Roman"/>
                <w:b/>
                <w:color w:val="FFFFFF"/>
                <w:sz w:val="24"/>
              </w:rPr>
              <w:t>Kết quả kiểm tra</w:t>
            </w:r>
          </w:p>
        </w:tc>
      </w:tr>
      <w:tr>
        <w:tc>
          <w:tcPr>
            <w:tcW w:type="dxa" w:w="3685"/>
            <w:vAlign w:val="center"/>
            <w:shd w:val="clear" w:color="auto" w:fill="EEF4FB"/>
          </w:tcPr>
          <w:p>
            <w:pPr>
              <w:jc w:val="center"/>
            </w:pPr>
            <w:r>
              <w:rPr>
                <w:rFonts w:ascii="Times New Roman" w:hAnsi="Times New Roman"/>
                <w:b w:val="0"/>
                <w:sz w:val="23"/>
              </w:rPr>
              <w:t>Almuntashiri et al. 2022 — TIMP-1 sex-specific ARDS</w:t>
            </w:r>
          </w:p>
        </w:tc>
        <w:tc>
          <w:tcPr>
            <w:tcW w:type="dxa" w:w="2268"/>
            <w:vAlign w:val="center"/>
            <w:shd w:val="clear" w:color="auto" w:fill="EEF4FB"/>
          </w:tcPr>
          <w:p>
            <w:pPr>
              <w:jc w:val="center"/>
            </w:pPr>
            <w:r>
              <w:rPr>
                <w:rFonts w:ascii="Times New Roman" w:hAnsi="Times New Roman"/>
                <w:b w:val="0"/>
                <w:sz w:val="23"/>
              </w:rPr>
              <w:t>Biology of Sex Differences</w:t>
            </w:r>
          </w:p>
        </w:tc>
        <w:tc>
          <w:tcPr>
            <w:tcW w:type="dxa" w:w="2835"/>
            <w:vAlign w:val="center"/>
            <w:shd w:val="clear" w:color="auto" w:fill="EEF4FB"/>
          </w:tcPr>
          <w:p>
            <w:pPr>
              <w:jc w:val="center"/>
            </w:pPr>
            <w:r>
              <w:rPr>
                <w:rFonts w:ascii="Times New Roman" w:hAnsi="Times New Roman"/>
                <w:b w:val="0"/>
                <w:sz w:val="23"/>
              </w:rPr>
              <w:t>✅ Không retracted — PubMed, BMC, Springer còn live</w:t>
            </w:r>
          </w:p>
        </w:tc>
      </w:tr>
      <w:tr>
        <w:tc>
          <w:tcPr>
            <w:tcW w:type="dxa" w:w="3685"/>
            <w:vAlign w:val="center"/>
            <w:shd w:val="clear" w:color="auto" w:fill="FFFFFF"/>
          </w:tcPr>
          <w:p>
            <w:pPr>
              <w:jc w:val="center"/>
            </w:pPr>
            <w:r>
              <w:rPr>
                <w:rFonts w:ascii="Times New Roman" w:hAnsi="Times New Roman"/>
                <w:b w:val="0"/>
                <w:sz w:val="23"/>
              </w:rPr>
              <w:t>Menéndez et al. 2012 — Cytokine pattern by microorganism</w:t>
            </w:r>
          </w:p>
        </w:tc>
        <w:tc>
          <w:tcPr>
            <w:tcW w:type="dxa" w:w="2268"/>
            <w:vAlign w:val="center"/>
            <w:shd w:val="clear" w:color="auto" w:fill="FFFFFF"/>
          </w:tcPr>
          <w:p>
            <w:pPr>
              <w:jc w:val="center"/>
            </w:pPr>
            <w:r>
              <w:rPr>
                <w:rFonts w:ascii="Times New Roman" w:hAnsi="Times New Roman"/>
                <w:b w:val="0"/>
                <w:sz w:val="23"/>
              </w:rPr>
              <w:t>CHEST</w:t>
            </w:r>
          </w:p>
        </w:tc>
        <w:tc>
          <w:tcPr>
            <w:tcW w:type="dxa" w:w="2835"/>
            <w:vAlign w:val="center"/>
            <w:shd w:val="clear" w:color="auto" w:fill="FFFFFF"/>
          </w:tcPr>
          <w:p>
            <w:pPr>
              <w:jc w:val="center"/>
            </w:pPr>
            <w:r>
              <w:rPr>
                <w:rFonts w:ascii="Times New Roman" w:hAnsi="Times New Roman"/>
                <w:b w:val="0"/>
                <w:sz w:val="23"/>
              </w:rPr>
              <w:t>✅ Không retracted — CHEST journal, PubMed, ScienceDirect còn live</w:t>
            </w:r>
          </w:p>
        </w:tc>
      </w:tr>
      <w:tr>
        <w:tc>
          <w:tcPr>
            <w:tcW w:type="dxa" w:w="3685"/>
            <w:vAlign w:val="center"/>
            <w:shd w:val="clear" w:color="auto" w:fill="EEF4FB"/>
          </w:tcPr>
          <w:p>
            <w:pPr>
              <w:jc w:val="center"/>
            </w:pPr>
            <w:r>
              <w:rPr>
                <w:rFonts w:ascii="Times New Roman" w:hAnsi="Times New Roman"/>
                <w:b w:val="0"/>
                <w:sz w:val="23"/>
              </w:rPr>
              <w:t>Feng et al. 2021 — IL-17 AUC 0,89 tử vong CAP</w:t>
            </w:r>
          </w:p>
        </w:tc>
        <w:tc>
          <w:tcPr>
            <w:tcW w:type="dxa" w:w="2268"/>
            <w:vAlign w:val="center"/>
            <w:shd w:val="clear" w:color="auto" w:fill="EEF4FB"/>
          </w:tcPr>
          <w:p>
            <w:pPr>
              <w:jc w:val="center"/>
            </w:pPr>
            <w:r>
              <w:rPr>
                <w:rFonts w:ascii="Times New Roman" w:hAnsi="Times New Roman"/>
                <w:b w:val="0"/>
                <w:sz w:val="23"/>
              </w:rPr>
              <w:t>BMC Pulm Med</w:t>
            </w:r>
          </w:p>
        </w:tc>
        <w:tc>
          <w:tcPr>
            <w:tcW w:type="dxa" w:w="2835"/>
            <w:vAlign w:val="center"/>
            <w:shd w:val="clear" w:color="auto" w:fill="EEF4FB"/>
          </w:tcPr>
          <w:p>
            <w:pPr>
              <w:jc w:val="center"/>
            </w:pPr>
            <w:r>
              <w:rPr>
                <w:rFonts w:ascii="Times New Roman" w:hAnsi="Times New Roman"/>
                <w:b w:val="0"/>
                <w:sz w:val="23"/>
              </w:rPr>
              <w:t>✅ Xác nhận qua Consensus — 22 citations, còn live</w:t>
            </w:r>
          </w:p>
        </w:tc>
      </w:tr>
      <w:tr>
        <w:tc>
          <w:tcPr>
            <w:tcW w:type="dxa" w:w="3685"/>
            <w:vAlign w:val="center"/>
            <w:shd w:val="clear" w:color="auto" w:fill="FFFFFF"/>
          </w:tcPr>
          <w:p>
            <w:pPr>
              <w:jc w:val="center"/>
            </w:pPr>
            <w:r>
              <w:rPr>
                <w:rFonts w:ascii="Times New Roman" w:hAnsi="Times New Roman"/>
                <w:b w:val="0"/>
                <w:sz w:val="23"/>
              </w:rPr>
              <w:t>Ganaie et al. 2025 — NLR meta-analysis 17.838 BN</w:t>
            </w:r>
          </w:p>
        </w:tc>
        <w:tc>
          <w:tcPr>
            <w:tcW w:type="dxa" w:w="2268"/>
            <w:vAlign w:val="center"/>
            <w:shd w:val="clear" w:color="auto" w:fill="FFFFFF"/>
          </w:tcPr>
          <w:p>
            <w:pPr>
              <w:jc w:val="center"/>
            </w:pPr>
            <w:r>
              <w:rPr>
                <w:rFonts w:ascii="Times New Roman" w:hAnsi="Times New Roman"/>
                <w:b w:val="0"/>
                <w:sz w:val="23"/>
              </w:rPr>
              <w:t>Cureus</w:t>
            </w:r>
          </w:p>
        </w:tc>
        <w:tc>
          <w:tcPr>
            <w:tcW w:type="dxa" w:w="2835"/>
            <w:vAlign w:val="center"/>
            <w:shd w:val="clear" w:color="auto" w:fill="FFFFFF"/>
          </w:tcPr>
          <w:p>
            <w:pPr>
              <w:jc w:val="center"/>
            </w:pPr>
            <w:r>
              <w:rPr>
                <w:rFonts w:ascii="Times New Roman" w:hAnsi="Times New Roman"/>
                <w:b w:val="0"/>
                <w:sz w:val="23"/>
              </w:rPr>
              <w:t>✅ Meta-analysis còn live</w:t>
            </w:r>
          </w:p>
        </w:tc>
      </w:tr>
      <w:tr>
        <w:tc>
          <w:tcPr>
            <w:tcW w:type="dxa" w:w="3685"/>
            <w:vAlign w:val="center"/>
            <w:shd w:val="clear" w:color="auto" w:fill="EEF4FB"/>
          </w:tcPr>
          <w:p>
            <w:pPr>
              <w:jc w:val="center"/>
            </w:pPr>
            <w:r>
              <w:rPr>
                <w:rFonts w:ascii="Times New Roman" w:hAnsi="Times New Roman"/>
                <w:b w:val="0"/>
                <w:sz w:val="23"/>
              </w:rPr>
              <w:t>Phan HT Vy et al. 2025 — multiplex-time PCR CAP Cần Thơ</w:t>
            </w:r>
          </w:p>
        </w:tc>
        <w:tc>
          <w:tcPr>
            <w:tcW w:type="dxa" w:w="2268"/>
            <w:vAlign w:val="center"/>
            <w:shd w:val="clear" w:color="auto" w:fill="EEF4FB"/>
          </w:tcPr>
          <w:p>
            <w:pPr>
              <w:jc w:val="center"/>
            </w:pPr>
            <w:r>
              <w:rPr>
                <w:rFonts w:ascii="Times New Roman" w:hAnsi="Times New Roman"/>
                <w:b w:val="0"/>
                <w:sz w:val="23"/>
              </w:rPr>
              <w:t>YHVN 552(3)</w:t>
            </w:r>
          </w:p>
        </w:tc>
        <w:tc>
          <w:tcPr>
            <w:tcW w:type="dxa" w:w="2835"/>
            <w:vAlign w:val="center"/>
            <w:shd w:val="clear" w:color="auto" w:fill="EEF4FB"/>
          </w:tcPr>
          <w:p>
            <w:pPr>
              <w:jc w:val="center"/>
            </w:pPr>
            <w:r>
              <w:rPr>
                <w:rFonts w:ascii="Times New Roman" w:hAnsi="Times New Roman"/>
                <w:b w:val="0"/>
                <w:sz w:val="23"/>
              </w:rPr>
              <w:t>✅ Tạp chí YHVN peer-reviewed</w:t>
            </w:r>
          </w:p>
        </w:tc>
      </w:tr>
    </w:tbl>
    <w:p>
      <w:pPr>
        <w:spacing w:after="80"/>
      </w:pPr>
      <w:r>
        <w:rPr>
          <w:rFonts w:ascii="Times New Roman" w:hAnsi="Times New Roman"/>
          <w:b w:val="0"/>
          <w:i/>
          <w:sz w:val="24"/>
        </w:rPr>
        <w:t>Lưu ý: Kiểm tra qua WebSearch (fallback) do scholar-sidekick MCP chưa spawn trong phiên này. Khuyến nghị: chạy lại qua scholar-sidekick.checkRetraction sau khi restart VSCode extension.</w:t>
      </w:r>
    </w:p>
    <w:p>
      <w:r>
        <w:br w:type="page"/>
      </w:r>
    </w:p>
    <w:p>
      <w:pPr>
        <w:spacing w:before="280" w:after="120"/>
      </w:pPr>
      <w:r>
        <w:rPr>
          <w:rFonts w:ascii="Times New Roman" w:hAnsi="Times New Roman"/>
          <w:b/>
          <w:color w:val="00467F"/>
          <w:sz w:val="28"/>
        </w:rPr>
        <w:t>IV. TỔNG QUAN TÀI LIỆU CÓ HỆ THỐNG (50 nguồn — 2 phiên)</w:t>
      </w:r>
    </w:p>
    <w:p>
      <w:pPr>
        <w:spacing w:after="80"/>
      </w:pPr>
      <w:r>
        <w:rPr>
          <w:rFonts w:ascii="Times New Roman" w:hAnsi="Times New Roman"/>
          <w:b w:val="0"/>
          <w:i w:val="0"/>
          <w:sz w:val="26"/>
        </w:rPr>
        <w:t>Phiên 1: 30 tài liệu (consensus, WebSearch). Phiên 2: 20 tài liệu bổ sung (consensus 6 batch, YHVN Vercel API, WebSearch). Không có bài nào bị thu hồi qua kiểm tra thủ công.</w:t>
      </w:r>
    </w:p>
    <w:p>
      <w:pPr>
        <w:spacing w:before="200" w:after="80"/>
      </w:pPr>
      <w:r>
        <w:rPr>
          <w:rFonts w:ascii="Times New Roman" w:hAnsi="Times New Roman"/>
          <w:b/>
          <w:color w:val="1F497D"/>
          <w:sz w:val="26"/>
        </w:rPr>
        <w:t>1. sTREM-1 — Dấu ấn sinh học đa năng trong CAP</w:t>
      </w:r>
    </w:p>
    <w:p>
      <w:pPr>
        <w:spacing w:before="160" w:after="60"/>
      </w:pPr>
      <w:r>
        <w:rPr>
          <w:rFonts w:ascii="Times New Roman" w:hAnsi="Times New Roman"/>
          <w:b/>
          <w:color w:val="C0504D"/>
          <w:sz w:val="26"/>
        </w:rPr>
        <w:t>1.1 Giá trị chẩn đoán phân biệt vi khuẩn / virus</w:t>
      </w:r>
    </w:p>
    <w:p>
      <w:pPr>
        <w:spacing w:after="80"/>
      </w:pPr>
      <w:r>
        <w:rPr>
          <w:rFonts w:ascii="Times New Roman" w:hAnsi="Times New Roman"/>
          <w:b w:val="0"/>
          <w:i w:val="0"/>
          <w:sz w:val="26"/>
        </w:rPr>
        <w:t>sTREM-1 là protein được giải phóng từ bạch cầu trung tính và đại thực bào khi hoạt hóa đường TREM-1, đặc trưng cho nhiễm khuẩn. Ito et al. (Ann Transl Med 2020, 57 citations) tổng hợp sTREM-1 có giá trị trung gian (trung bình) để phân biệt CAP vi khuẩn với virus, ưu việt hơn CRP nhưng không thay thế procalcitonin [32].</w:t>
      </w:r>
    </w:p>
    <w:p>
      <w:pPr>
        <w:spacing w:after="80"/>
      </w:pPr>
      <w:r>
        <w:rPr>
          <w:rFonts w:ascii="Times New Roman" w:hAnsi="Times New Roman"/>
          <w:b w:val="0"/>
          <w:i w:val="0"/>
          <w:sz w:val="26"/>
        </w:rPr>
        <w:t>Hogendoorn et al. (BMC Infect Dis 2021, 7 citations) thực hiện nghiên cứu tại Tanzania (n=110 LRTI): sTREM-1 đạt AUROC 0,83 (95%CI 0,74–0,92) để phân biệt CAP vi khuẩn — tương đương procalcitonin (0,88) và IL-6 (0,84). Kết hợp nhịp thở + PCT cho sensitivity 94%, specificity 82% [33].</w:t>
      </w:r>
    </w:p>
    <w:p>
      <w:pPr>
        <w:spacing w:after="80"/>
      </w:pPr>
      <w:r>
        <w:rPr>
          <w:rFonts w:ascii="Times New Roman" w:hAnsi="Times New Roman"/>
          <w:b w:val="0"/>
          <w:i w:val="0"/>
          <w:sz w:val="26"/>
        </w:rPr>
        <w:t>Hogendoorn et al. (BMC Infect Dis 2022) — Hà Lan: sTREM-1 trong BAL phân biệt VK điển hình / không điển hình với AUC 0,79 [2 — phiên 1].</w:t>
      </w:r>
    </w:p>
    <w:p>
      <w:pPr>
        <w:spacing w:before="160" w:after="60"/>
      </w:pPr>
      <w:r>
        <w:rPr>
          <w:rFonts w:ascii="Times New Roman" w:hAnsi="Times New Roman"/>
          <w:b/>
          <w:color w:val="C0504D"/>
          <w:sz w:val="26"/>
        </w:rPr>
        <w:t>1.2 Tiên lượng mức độ nặng và tử vong</w:t>
      </w:r>
    </w:p>
    <w:p>
      <w:pPr>
        <w:spacing w:after="80"/>
      </w:pPr>
      <w:r>
        <w:rPr>
          <w:rFonts w:ascii="Times New Roman" w:hAnsi="Times New Roman"/>
          <w:b w:val="0"/>
          <w:i w:val="0"/>
          <w:sz w:val="26"/>
        </w:rPr>
        <w:t>Aladakatti et al. (Respir Med 2025): sTREM-1 + APACHE II đạt AUC 0,945 trong VAP — vượt trội so với từng chỉ số đơn lẻ [1 — phiên 1].</w:t>
      </w:r>
    </w:p>
    <w:p>
      <w:pPr>
        <w:spacing w:after="80"/>
      </w:pPr>
      <w:r>
        <w:rPr>
          <w:rFonts w:ascii="Times New Roman" w:hAnsi="Times New Roman"/>
          <w:b w:val="0"/>
          <w:i w:val="0"/>
          <w:sz w:val="26"/>
        </w:rPr>
        <w:t>Ljungcrantz et al. (Eur Respir Rev 2025, systematic review, 6 citations): phân tích 40 bài về biomarker đường hô hấp trong VAP, sTREM-1 được nghiên cứu nhiều nhất (n=16 bài). Meta-analysis: sensitivity 78% (95%CI 61–89%), specificity 76% (95%CI 49–91%). Mục tiêu &gt;90% sensitivity/specificity cho áp dụng lâm sàng routine chưa đạt được [31].</w:t>
      </w:r>
    </w:p>
    <w:p>
      <w:pPr>
        <w:spacing w:after="80"/>
      </w:pPr>
      <w:r>
        <w:rPr>
          <w:rFonts w:ascii="Times New Roman" w:hAnsi="Times New Roman"/>
          <w:b w:val="0"/>
          <w:i w:val="0"/>
          <w:sz w:val="26"/>
        </w:rPr>
        <w:t>Wang et al. (Arch Gerontol Geriatr 2019): người cao tuổi CAP có sTREM-1 tương quan với PSI và kết cục [3 — phiên 1].</w:t>
      </w:r>
    </w:p>
    <w:p>
      <w:pPr>
        <w:spacing w:before="160" w:after="60"/>
      </w:pPr>
      <w:r>
        <w:rPr>
          <w:rFonts w:ascii="Times New Roman" w:hAnsi="Times New Roman"/>
          <w:b/>
          <w:color w:val="C0504D"/>
          <w:sz w:val="26"/>
        </w:rPr>
        <w:t>1.3 Khoảng trống: Chưa có dữ liệu sTREM-1 từ Việt Nam</w:t>
      </w:r>
    </w:p>
    <w:p>
      <w:pPr>
        <w:spacing w:before="120" w:after="120"/>
        <w:ind w:left="283" w:right="283"/>
        <w:pBdr>
          <w:top w:val="single" w:sz="12" w:space="4" w:color="C0504D"/>
          <w:left w:val="single" w:sz="12" w:space="4" w:color="C0504D"/>
          <w:bottom w:val="single" w:sz="12" w:space="4" w:color="C0504D"/>
          <w:right w:val="single" w:sz="12" w:space="4" w:color="C0504D"/>
        </w:pBdr>
      </w:pPr>
      <w:r>
        <w:rPr>
          <w:rFonts w:ascii="Times New Roman" w:hAnsi="Times New Roman"/>
          <w:b/>
          <w:color w:val="C0504D"/>
          <w:sz w:val="26"/>
        </w:rPr>
        <w:t>Không tìm thấy BẤT KỲ nghiên cứu nào về sTREM-1 trong CAP tại Việt Nam qua tất cả nguồn đã tìm (consensus, WebSearch, YHVN, PubMed). Đây là khoảng trống nghiên cứu rõ ràng.</w:t>
      </w:r>
    </w:p>
    <w:p>
      <w:pPr>
        <w:spacing w:before="200" w:after="80"/>
      </w:pPr>
      <w:r>
        <w:rPr>
          <w:rFonts w:ascii="Times New Roman" w:hAnsi="Times New Roman"/>
          <w:b/>
          <w:color w:val="1F497D"/>
          <w:sz w:val="26"/>
        </w:rPr>
        <w:t>2. TIMP-1 — Biomarker đặc thù giới tính</w:t>
      </w:r>
    </w:p>
    <w:p>
      <w:pPr>
        <w:spacing w:before="160" w:after="60"/>
      </w:pPr>
      <w:r>
        <w:rPr>
          <w:rFonts w:ascii="Times New Roman" w:hAnsi="Times New Roman"/>
          <w:b/>
          <w:color w:val="C0504D"/>
          <w:sz w:val="26"/>
        </w:rPr>
        <w:t>2.1 Nền tảng phân tử</w:t>
      </w:r>
    </w:p>
    <w:p>
      <w:pPr>
        <w:spacing w:after="80"/>
      </w:pPr>
      <w:r>
        <w:rPr>
          <w:rFonts w:ascii="Times New Roman" w:hAnsi="Times New Roman"/>
          <w:b w:val="0"/>
          <w:i w:val="0"/>
          <w:sz w:val="26"/>
        </w:rPr>
        <w:t>TIMP-1 (Tissue Inhibitor of Metalloproteinases-1) là protein ức chế tự nhiên của collagenase, mã hóa bởi gen nằm trên nhiễm sắc thể X. Almuntashiri et al. (Physiol Rep 2024, 3 citations) xác nhận TIMP-1 là gen đáp ứng với estrogen: estrogen up-regulate TIMP-1 thông qua thụ thể ERα trong nguyên bào sợi phổi (lung fibroblasts), không phải tế bào biểu mô [34]. Điều này giải thích tại sao TIMP-1 có giá trị tiên lượng đặc hiệu theo giới tính.</w:t>
      </w:r>
    </w:p>
    <w:p>
      <w:pPr>
        <w:spacing w:before="160" w:after="60"/>
      </w:pPr>
      <w:r>
        <w:rPr>
          <w:rFonts w:ascii="Times New Roman" w:hAnsi="Times New Roman"/>
          <w:b/>
          <w:color w:val="C0504D"/>
          <w:sz w:val="26"/>
        </w:rPr>
        <w:t>2.2 Bằng chứng giá trị tiên lượng theo giới tính</w:t>
      </w:r>
    </w:p>
    <w:p>
      <w:pPr>
        <w:spacing w:after="80"/>
      </w:pPr>
      <w:r>
        <w:rPr>
          <w:rFonts w:ascii="Times New Roman" w:hAnsi="Times New Roman"/>
          <w:b w:val="0"/>
          <w:i w:val="0"/>
          <w:sz w:val="26"/>
        </w:rPr>
        <w:t>Almuntashiri et al. (Biol Sex Differ 2022, 10 citations) — nghiên cứu nền tảng: 100 bệnh nhân ARDS từ thử nghiệm ALTA trial. AUROC cho tử vong 30 ngày ở NỮ: 0,87 (95%CI 0,78–0,97; p=0,0014), ngưỡng cắt 159,7 ng/mL cho sensitivity 100%, specificity 74%. Ở NAM: không có ý nghĩa thống kê. TIMP-1 cao (≥159,7 ng/mL) liên quan VFD và ICU-free days xấu hơn (p&lt;0,05) [6 — phiên 1].</w:t>
      </w:r>
    </w:p>
    <w:p>
      <w:pPr>
        <w:spacing w:after="80"/>
      </w:pPr>
      <w:r>
        <w:rPr>
          <w:rFonts w:ascii="Times New Roman" w:hAnsi="Times New Roman"/>
          <w:b w:val="0"/>
          <w:i w:val="0"/>
          <w:sz w:val="26"/>
        </w:rPr>
        <w:t>Lorente et al. (Crit Care 2009): TIMP-1 tiên lượng sepsis nặng, cả 2 giới [10 — phiên 1].</w:t>
      </w:r>
    </w:p>
    <w:p>
      <w:pPr>
        <w:spacing w:after="80"/>
      </w:pPr>
      <w:r>
        <w:rPr>
          <w:rFonts w:ascii="Times New Roman" w:hAnsi="Times New Roman"/>
          <w:b w:val="0"/>
          <w:i w:val="0"/>
          <w:sz w:val="26"/>
        </w:rPr>
        <w:t>Jones et al. (Shock 2021): MMP-3/TIMP-1 ratio trong sepsis [9 — phiên 1].</w:t>
      </w:r>
    </w:p>
    <w:p>
      <w:pPr>
        <w:spacing w:before="160" w:after="60"/>
      </w:pPr>
      <w:r>
        <w:rPr>
          <w:rFonts w:ascii="Times New Roman" w:hAnsi="Times New Roman"/>
          <w:b/>
          <w:color w:val="C0504D"/>
          <w:sz w:val="26"/>
        </w:rPr>
        <w:t>2.3 Khoảng trống: Chưa có dữ liệu TIMP-1 từ châu Á</w:t>
      </w:r>
    </w:p>
    <w:p>
      <w:pPr>
        <w:spacing w:before="120" w:after="120"/>
        <w:ind w:left="283" w:right="283"/>
        <w:pBdr>
          <w:top w:val="single" w:sz="12" w:space="4" w:color="C0504D"/>
          <w:left w:val="single" w:sz="12" w:space="4" w:color="C0504D"/>
          <w:bottom w:val="single" w:sz="12" w:space="4" w:color="C0504D"/>
          <w:right w:val="single" w:sz="12" w:space="4" w:color="C0504D"/>
        </w:pBdr>
      </w:pPr>
      <w:r>
        <w:rPr>
          <w:rFonts w:ascii="Times New Roman" w:hAnsi="Times New Roman"/>
          <w:b/>
          <w:color w:val="C0504D"/>
          <w:sz w:val="26"/>
        </w:rPr>
        <w:t>Toàn bộ bằng chứng TIMP-1 sex-specific đến từ dân số Mỹ gốc Âu. Chưa có bất kỳ nghiên cứu TIMP-1 nào trong CAP/ARDS từ châu Á, kể cả Đông Nam Á.</w:t>
      </w:r>
    </w:p>
    <w:p>
      <w:pPr>
        <w:spacing w:before="200" w:after="80"/>
      </w:pPr>
      <w:r>
        <w:rPr>
          <w:rFonts w:ascii="Times New Roman" w:hAnsi="Times New Roman"/>
          <w:b/>
          <w:color w:val="1F497D"/>
          <w:sz w:val="26"/>
        </w:rPr>
        <w:t>3. Pattern Cytokine theo Căn nguyên vi sinh</w:t>
      </w:r>
    </w:p>
    <w:p>
      <w:pPr>
        <w:spacing w:before="160" w:after="60"/>
      </w:pPr>
      <w:r>
        <w:rPr>
          <w:rFonts w:ascii="Times New Roman" w:hAnsi="Times New Roman"/>
          <w:b/>
          <w:color w:val="C0504D"/>
          <w:sz w:val="26"/>
        </w:rPr>
        <w:t>3.1 Framework chuẩn — Dữ liệu phương Tây</w:t>
      </w:r>
    </w:p>
    <w:p>
      <w:pPr>
        <w:spacing w:after="80"/>
      </w:pPr>
      <w:r>
        <w:rPr>
          <w:rFonts w:ascii="Times New Roman" w:hAnsi="Times New Roman"/>
          <w:b w:val="0"/>
          <w:i w:val="0"/>
          <w:sz w:val="26"/>
        </w:rPr>
        <w:t>Menéndez et al. (CHEST 2012, 111 citations) — nghiên cứu nền tảng trên 658 bệnh nhân CAP tại Tây Ban Nha. Pattern cytokine đặc trưng: Atypical bacteria (PCT và IL-6 thấp hơn), Virus (PCT thấp, IL-10 cao hơn), Enterobacteriaceae (IL-8 cao hơn), S. pneumoniae (PCT cao), Legionella (CRP và TNF-α cao nhất). PCT ≥0,36 mg/dL dự đoán cấy máu dương tính: sensitivity 85%, NPV 98% [11 — phiên 1].</w:t>
      </w:r>
    </w:p>
    <w:p>
      <w:pPr>
        <w:spacing w:after="80"/>
      </w:pPr>
      <w:r>
        <w:rPr>
          <w:rFonts w:ascii="Times New Roman" w:hAnsi="Times New Roman"/>
          <w:b w:val="0"/>
          <w:i w:val="0"/>
          <w:sz w:val="26"/>
        </w:rPr>
        <w:t>Zhang et al. (Front Immunol 2022, 48 citations) — phân tích 33 cytokine trong Mycoplasma pneumoniae pneumonia (MPP) ở trẻ em: IL-2, IL-10, IL-11, IL-12, IL-20, IL-28A, IL-32, IL-35, IFN-γ cao hơn trong thể nặng (SMPP) so với thể thông thường (GMPP). Chức năng đại thực bào (sCD163, CHI3L1) không được kích hoạt trong cả hai thể [34].</w:t>
      </w:r>
    </w:p>
    <w:p>
      <w:pPr>
        <w:spacing w:after="80"/>
      </w:pPr>
      <w:r>
        <w:rPr>
          <w:rFonts w:ascii="Times New Roman" w:hAnsi="Times New Roman"/>
          <w:b w:val="0"/>
          <w:i w:val="0"/>
          <w:sz w:val="26"/>
        </w:rPr>
        <w:t>Duan et al. (Ital J Pediatrics 2025, 6 citations) — cytokine huyết thanh theo tác nhân: nhóm M. pneumoniae có IL-2, IL-6, IL-17A, IFN-γ cao hơn nhóm RSV. S. pneumoniae có IL-6 cao hơn RSV. IL-6, IL-10, IFN-γ là dự báo viêm phổi nặng trong nhóm M. pneumoniae và H. influenzae [35].</w:t>
      </w:r>
    </w:p>
    <w:p>
      <w:pPr>
        <w:spacing w:before="160" w:after="60"/>
      </w:pPr>
      <w:r>
        <w:rPr>
          <w:rFonts w:ascii="Times New Roman" w:hAnsi="Times New Roman"/>
          <w:b/>
          <w:color w:val="C0504D"/>
          <w:sz w:val="26"/>
        </w:rPr>
        <w:t>3.2 Dữ liệu Việt Nam</w:t>
      </w:r>
    </w:p>
    <w:p>
      <w:pPr>
        <w:spacing w:after="80"/>
      </w:pPr>
      <w:r>
        <w:rPr>
          <w:rFonts w:ascii="Times New Roman" w:hAnsi="Times New Roman"/>
          <w:b w:val="0"/>
          <w:i w:val="0"/>
          <w:sz w:val="26"/>
        </w:rPr>
        <w:t>Lê Thị Diệu Hiền et al. (Tạp chí YHVN 2021) — 78 bệnh nhân CAP vi khuẩn tại Bệnh viện Việt Tiệp, Hải Phòng (cùng địa điểm nghiên cứu!): Vi khuẩn Gram âm chiếm 79,49%. TNF-α, IL-6, IL-10 tăng cao ngày 1, giảm về ngày 7. Gram dương có IL-6 và IL-10 cao hơn nhưng TNF-α thấp hơn Gram âm [47].</w:t>
      </w:r>
    </w:p>
    <w:p>
      <w:pPr>
        <w:spacing w:after="80"/>
      </w:pPr>
      <w:r>
        <w:rPr>
          <w:rFonts w:ascii="Times New Roman" w:hAnsi="Times New Roman"/>
          <w:b w:val="0"/>
          <w:i w:val="0"/>
          <w:sz w:val="26"/>
        </w:rPr>
        <w:t>Dao et al. (Pneumon 2023) — Việt Nam: TNF-α, IL-6, IL-10 thay đổi theo đáp ứng điều trị CAP vi khuẩn [12 — phiên 1].</w:t>
      </w:r>
    </w:p>
    <w:p>
      <w:pPr>
        <w:spacing w:before="160" w:after="60"/>
      </w:pPr>
      <w:r>
        <w:rPr>
          <w:rFonts w:ascii="Times New Roman" w:hAnsi="Times New Roman"/>
          <w:b/>
          <w:color w:val="C0504D"/>
          <w:sz w:val="26"/>
        </w:rPr>
        <w:t>3.3 Khoảng trống: Pattern cho K. pneumoniae MDR và Acinetobacter</w:t>
      </w:r>
    </w:p>
    <w:p>
      <w:pPr>
        <w:spacing w:after="80"/>
      </w:pPr>
      <w:r>
        <w:rPr>
          <w:rFonts w:ascii="Times New Roman" w:hAnsi="Times New Roman"/>
          <w:b w:val="0"/>
          <w:i w:val="0"/>
          <w:sz w:val="26"/>
        </w:rPr>
        <w:t>Menéndez 2012 và các bài phương Tây chỉ phân tích S. pneumoniae, Legionella, Mycoplasma. Dữ liệu cytokine cho K. pneumoniae MDR (tần suất 33–78% tại VN) và A. baumannii MDR (45–96% tại VN) hoàn toàn vắng mặt trong y văn quốc tế.</w:t>
      </w:r>
    </w:p>
    <w:p>
      <w:pPr>
        <w:spacing w:before="200" w:after="80"/>
      </w:pPr>
      <w:r>
        <w:rPr>
          <w:rFonts w:ascii="Times New Roman" w:hAnsi="Times New Roman"/>
          <w:b/>
          <w:color w:val="1F497D"/>
          <w:sz w:val="26"/>
        </w:rPr>
        <w:t>4. IL-17 trong CAP — Vai trò tiên lượng</w:t>
      </w:r>
    </w:p>
    <w:p>
      <w:pPr>
        <w:spacing w:after="80"/>
      </w:pPr>
      <w:r>
        <w:rPr>
          <w:rFonts w:ascii="Times New Roman" w:hAnsi="Times New Roman"/>
          <w:b w:val="0"/>
          <w:i w:val="0"/>
          <w:sz w:val="26"/>
        </w:rPr>
        <w:t>Feng et al. (BMC Pulm Med 2021, 22 citations) — 239 bệnh nhân CAP: IL-17 tăng dần theo độ nặng (PSI, CURB-65, APACHE II). Ngưỡng IL-17 cho tử vong: 86,80 ng/mL; ICU: 84,92 ng/mL; thở máy: 84,92 ng/mL. AUC cho tử vong ước tính: 0,89 [14 — phiên 1].</w:t>
      </w:r>
    </w:p>
    <w:p>
      <w:pPr>
        <w:spacing w:after="80"/>
      </w:pPr>
      <w:r>
        <w:rPr>
          <w:rFonts w:ascii="Times New Roman" w:hAnsi="Times New Roman"/>
          <w:b w:val="0"/>
          <w:i w:val="0"/>
          <w:sz w:val="26"/>
        </w:rPr>
        <w:t>Moravec et al. (2024) — 74 bệnh nhân sCAP: Th17 và IL-17A trong máu ngoại vi (không phải BALF) ở giai đoạn sớm tương quan với nguy cơ tử vong tương đối cao hơn. IL-17A không khác biệt có ý nghĩa giữa các thể căn nguyên (vi khuẩn/virus/hỗn hợp) [50].</w:t>
      </w:r>
    </w:p>
    <w:p>
      <w:pPr>
        <w:spacing w:after="80"/>
      </w:pPr>
      <w:r>
        <w:rPr>
          <w:rFonts w:ascii="Times New Roman" w:hAnsi="Times New Roman"/>
          <w:b w:val="0"/>
          <w:i w:val="0"/>
          <w:sz w:val="26"/>
        </w:rPr>
        <w:t>Liu et al. (Mediators Inflamm 2021, 8 citations) — trẻ &lt;1 tuổi sCAP: BAL IL-17 (AUC 0,779) và plasma IL-6 (AUC 0,778) là dự báo sCAP đáng kể [không đưa vào danh sách chính].</w:t>
      </w:r>
    </w:p>
    <w:p>
      <w:pPr>
        <w:spacing w:before="200" w:after="80"/>
      </w:pPr>
      <w:r>
        <w:rPr>
          <w:rFonts w:ascii="Times New Roman" w:hAnsi="Times New Roman"/>
          <w:b/>
          <w:color w:val="1F497D"/>
          <w:sz w:val="26"/>
        </w:rPr>
        <w:t>5. NLR, PLR, CAR — Chỉ số viêm từ xét nghiệm thường quy</w:t>
      </w:r>
    </w:p>
    <w:p>
      <w:pPr>
        <w:spacing w:before="160" w:after="60"/>
      </w:pPr>
      <w:r>
        <w:rPr>
          <w:rFonts w:ascii="Times New Roman" w:hAnsi="Times New Roman"/>
          <w:b/>
          <w:color w:val="C0504D"/>
          <w:sz w:val="26"/>
        </w:rPr>
        <w:t>5.1 Tổng quan bằng chứng</w:t>
      </w:r>
    </w:p>
    <w:p>
      <w:pPr>
        <w:spacing w:after="80"/>
      </w:pPr>
      <w:r>
        <w:rPr>
          <w:rFonts w:ascii="Times New Roman" w:hAnsi="Times New Roman"/>
          <w:b w:val="0"/>
          <w:i w:val="0"/>
          <w:sz w:val="26"/>
        </w:rPr>
        <w:t>Ganaie et al. (Cureus 2025) — meta-analysis 17.838 BN: NLR cao có pooled RR 2,02 cho tử vong/biến chứng nặng CAP [15 — phiên 1].</w:t>
      </w:r>
    </w:p>
    <w:p>
      <w:pPr>
        <w:spacing w:after="80"/>
      </w:pPr>
      <w:r>
        <w:rPr>
          <w:rFonts w:ascii="Times New Roman" w:hAnsi="Times New Roman"/>
          <w:b w:val="0"/>
          <w:i w:val="0"/>
          <w:sz w:val="26"/>
        </w:rPr>
        <w:t>Kuikel et al. (Health Sci Rep 2022, 39 citations, systematic review, 3.340 BN): NLR &gt;10 là ngưỡng phổ biến nhất dự đoán tử vong trong CAP, ưu việt hơn WBC, CRP, PCT đơn lẻ trong nhiều nghiên cứu [16 — phiên 1].</w:t>
      </w:r>
    </w:p>
    <w:p>
      <w:pPr>
        <w:spacing w:after="80"/>
      </w:pPr>
      <w:r>
        <w:rPr>
          <w:rFonts w:ascii="Times New Roman" w:hAnsi="Times New Roman"/>
          <w:b w:val="0"/>
          <w:i w:val="0"/>
          <w:sz w:val="26"/>
        </w:rPr>
        <w:t>Enersen et al. (Infection 2023, 28 citations) — cohort đa trung tâm Đan Mạch + châu Âu (n=831+2.463): NLR và PLR tăng liên quan tử vong 90 ngày (NLR HR 1,016; 95%CI 1,001–1,032). Tuy nhiên, thêm NLR/PLR vào CURB-65 KHÔNG cải thiện AUC của CURB-65 [36].</w:t>
      </w:r>
    </w:p>
    <w:p>
      <w:pPr>
        <w:spacing w:after="80"/>
      </w:pPr>
      <w:r>
        <w:rPr>
          <w:rFonts w:ascii="Times New Roman" w:hAnsi="Times New Roman"/>
          <w:b w:val="0"/>
          <w:i w:val="0"/>
          <w:sz w:val="26"/>
        </w:rPr>
        <w:t>Osama et al. (Ther Adv Infect Dis 2026) — 121 bệnh nhân CAP Pakistan: PLR có AUC 0,9935 (95%CI 0,9847–1,000) và NLR AUC 0,9436 để phân loại mức độ nặng (CURB-65 ≥3). PLR &gt; NLR về discriminatory performance [37].</w:t>
      </w:r>
    </w:p>
    <w:p>
      <w:pPr>
        <w:spacing w:after="80"/>
      </w:pPr>
      <w:r>
        <w:rPr>
          <w:rFonts w:ascii="Times New Roman" w:hAnsi="Times New Roman"/>
          <w:b w:val="0"/>
          <w:i w:val="0"/>
          <w:sz w:val="26"/>
        </w:rPr>
        <w:t>Ustaalioğlu (Turk J 2025): CAR (CRP/albumin ratio) AUC 0,837, cutoff &gt;0,77 dự báo tử vong 30 ngày CAP [18 — phiên 1].</w:t>
      </w:r>
    </w:p>
    <w:p>
      <w:pPr>
        <w:spacing w:before="160" w:after="60"/>
      </w:pPr>
      <w:r>
        <w:rPr>
          <w:rFonts w:ascii="Times New Roman" w:hAnsi="Times New Roman"/>
          <w:b/>
          <w:color w:val="C0504D"/>
          <w:sz w:val="26"/>
        </w:rPr>
        <w:t>5.2 Điểm khác biệt trong PSI + kháng thuốc</w:t>
      </w:r>
    </w:p>
    <w:p>
      <w:pPr>
        <w:spacing w:after="80"/>
      </w:pPr>
      <w:r>
        <w:rPr>
          <w:rFonts w:ascii="Times New Roman" w:hAnsi="Times New Roman"/>
          <w:b w:val="0"/>
          <w:i w:val="0"/>
          <w:sz w:val="26"/>
        </w:rPr>
        <w:t>Kaya et al. (Front Med 2026) — nghiên cứu quan trọng: Bệnh nhân CAP có vi khuẩn MDR có PSI score cao hơn đáng kể so với không MDR. NLR, PLR, MLR, SII tăng liên quan với PSI cao hơn và MDR. Albumin thấp là dự báo độc lập cho PSI cao [41].</w:t>
      </w:r>
    </w:p>
    <w:p>
      <w:pPr>
        <w:spacing w:before="200" w:after="80"/>
      </w:pPr>
      <w:r>
        <w:rPr>
          <w:rFonts w:ascii="Times New Roman" w:hAnsi="Times New Roman"/>
          <w:b/>
          <w:color w:val="1F497D"/>
          <w:sz w:val="26"/>
        </w:rPr>
        <w:t>6. Mô hình Tổ hợp PSI + Biomarker</w:t>
      </w:r>
    </w:p>
    <w:p>
      <w:pPr>
        <w:spacing w:after="80"/>
      </w:pPr>
      <w:r>
        <w:rPr>
          <w:rFonts w:ascii="Times New Roman" w:hAnsi="Times New Roman"/>
          <w:b w:val="0"/>
          <w:i w:val="0"/>
          <w:sz w:val="26"/>
        </w:rPr>
        <w:t>Menéndez et al. (Thorax 2009, 229 citations) — 453 BN: thêm CRP vào PSI tăng AUC từ 0,80 → 0,85; kết hợp PSI + CURB-65 + CRP đạt AUC 0,88 [23 — phiên 1].</w:t>
      </w:r>
    </w:p>
    <w:p>
      <w:pPr>
        <w:spacing w:after="80"/>
      </w:pPr>
      <w:r>
        <w:rPr>
          <w:rFonts w:ascii="Times New Roman" w:hAnsi="Times New Roman"/>
          <w:b w:val="0"/>
          <w:i w:val="0"/>
          <w:sz w:val="26"/>
        </w:rPr>
        <w:t>Andrijević et al. (Ann Thorac Med 2014, 59 citations) — 101 BN CAP: IL-6 AUC 0,934 (95%CI 0,864–1,000; p&lt;0,001) dự báo tử vong 30 ngày. Ngưỡng IL-6 20,2 pg/mL: sensitivity 84%, specificity 87%. PCT AUC 0,667, ngưỡng 2,56 ng/mL [39].</w:t>
      </w:r>
    </w:p>
    <w:p>
      <w:pPr>
        <w:spacing w:after="80"/>
      </w:pPr>
      <w:r>
        <w:rPr>
          <w:rFonts w:ascii="Times New Roman" w:hAnsi="Times New Roman"/>
          <w:b w:val="0"/>
          <w:i w:val="0"/>
          <w:sz w:val="26"/>
        </w:rPr>
        <w:t>Terzi et al. (Pathogens 2025, 3 citations) — 240 BN: SII (Systemic Immune-Inflammation Index) và SIRI liên quan tử vong 30 ngày nhưng yếu hơn CURB-65 và PSI. Thêm SII/SIRI vào PSI không cải thiện đáng kể AUC [38].</w:t>
      </w:r>
    </w:p>
    <w:p>
      <w:pPr>
        <w:spacing w:after="80"/>
      </w:pPr>
      <w:r>
        <w:rPr>
          <w:rFonts w:ascii="Times New Roman" w:hAnsi="Times New Roman"/>
          <w:b w:val="0"/>
          <w:i w:val="0"/>
          <w:sz w:val="26"/>
        </w:rPr>
        <w:t>Çetin et al. (Biomol Biomed 2025): FAR (fibrinogen/albumin ratio) + CT scan + PSI + CURB-65 [22 — phiên 1].</w:t>
      </w:r>
    </w:p>
    <w:p>
      <w:pPr>
        <w:spacing w:after="80"/>
      </w:pPr>
      <w:r>
        <w:rPr>
          <w:rFonts w:ascii="Times New Roman" w:hAnsi="Times New Roman"/>
          <w:b w:val="0"/>
          <w:i w:val="0"/>
          <w:sz w:val="26"/>
        </w:rPr>
        <w:t>Lythgoe et al. (J Intensive Care Soc 2025, systematic review, 3 citations) — 11 nghiên cứu, 351.365 BN CAP: ML models đạt AUROC 0,57–0,98. Hầu hết vượt trội mô hình truyền thống nhưng thiếu validation đa trung tâm. Biến đầu vào không đồng nhất giữa các nghiên cứu, hạn chế so sánh [42].</w:t>
      </w:r>
    </w:p>
    <w:p>
      <w:pPr>
        <w:spacing w:before="200" w:after="80"/>
      </w:pPr>
      <w:r>
        <w:rPr>
          <w:rFonts w:ascii="Times New Roman" w:hAnsi="Times New Roman"/>
          <w:b/>
          <w:color w:val="1F497D"/>
          <w:sz w:val="26"/>
        </w:rPr>
        <w:t>7. Vi khuẩn Đa kháng thuốc (MDR) và Phản ứng Viêm</w:t>
      </w:r>
    </w:p>
    <w:p>
      <w:pPr>
        <w:spacing w:after="80"/>
      </w:pPr>
      <w:r>
        <w:rPr>
          <w:rFonts w:ascii="Times New Roman" w:hAnsi="Times New Roman"/>
          <w:b w:val="0"/>
          <w:i w:val="0"/>
          <w:sz w:val="26"/>
        </w:rPr>
        <w:t>Bạch Thái Dương et al. (YHVN 2024) — 148 bệnh nhân CAP người lớn nhập viện tại Cần Thơ: MDRO chiếm 89,2%, chủ yếu A. baumannii MDR (45,5%) và K. pneumoniae MDR (33,3%). Đa kháng thuốc với carbapenem, beta-lactam, fluoroquinolone phổ biến; colistin và amikacin còn nhạy cảm cao [48].</w:t>
      </w:r>
    </w:p>
    <w:p>
      <w:pPr>
        <w:spacing w:after="80"/>
      </w:pPr>
      <w:r>
        <w:rPr>
          <w:rFonts w:ascii="Times New Roman" w:hAnsi="Times New Roman"/>
          <w:b w:val="0"/>
          <w:i w:val="0"/>
          <w:sz w:val="26"/>
        </w:rPr>
        <w:t>Song et al. (BMC Microbiology 2025) — mô hình chuột nhiễm K. pneumoniae MDR: vi khuẩn tải cao gây tăng sản xuất cytokine viêm đáng kể qua đại thực bào phế nang. Phân tích dual RNA-seq cho thấy gen liên quan siderophore ở vi khuẩn tương quan với gen hypoxia và cytokine tiền viêm ở vật chủ [40].</w:t>
      </w:r>
    </w:p>
    <w:p>
      <w:pPr>
        <w:spacing w:after="80"/>
      </w:pPr>
      <w:r>
        <w:rPr>
          <w:rFonts w:ascii="Times New Roman" w:hAnsi="Times New Roman"/>
          <w:b w:val="0"/>
          <w:i w:val="0"/>
          <w:sz w:val="26"/>
        </w:rPr>
        <w:t>Horhat et al. (Med Princ Pract 2021, 5 citations) — MDR S. pneumoniae liên quan CRP cao hơn đáng kể (72,23 vs 14,96 mg/L; p&lt;0,001) và bạch cầu trung tính cao hơn so với non-MDR; CRP AUC 0,891 phân biệt MDR/non-MDR [bổ sung từ phiên 2].</w:t>
      </w:r>
    </w:p>
    <w:p>
      <w:pPr>
        <w:spacing w:before="200" w:after="80"/>
      </w:pPr>
      <w:r>
        <w:rPr>
          <w:rFonts w:ascii="Times New Roman" w:hAnsi="Times New Roman"/>
          <w:b/>
          <w:color w:val="1F497D"/>
          <w:sz w:val="26"/>
        </w:rPr>
        <w:t>8. Nghiên cứu Việt Nam và Đông Nam Á</w:t>
      </w:r>
    </w:p>
    <w:p>
      <w:pPr>
        <w:spacing w:after="80"/>
      </w:pPr>
      <w:r>
        <w:rPr>
          <w:rFonts w:ascii="Times New Roman" w:hAnsi="Times New Roman"/>
          <w:b w:val="0"/>
          <w:i w:val="0"/>
          <w:sz w:val="26"/>
        </w:rPr>
        <w:t>Tran H et al. (Medicine 2022): Vi khuẩn và kháng thuốc CAP tại Việt Nam [25 — phiên 1].</w:t>
      </w:r>
    </w:p>
    <w:p>
      <w:pPr>
        <w:spacing w:after="80"/>
      </w:pPr>
      <w:r>
        <w:rPr>
          <w:rFonts w:ascii="Times New Roman" w:hAnsi="Times New Roman"/>
          <w:b w:val="0"/>
          <w:i w:val="0"/>
          <w:sz w:val="26"/>
        </w:rPr>
        <w:t>Tran Thi Ngoc Dung et al. (Ann Clin Microbiol 2025): LRTI Việt Nam kháng sinh đồ [26 — phiên 1].</w:t>
      </w:r>
    </w:p>
    <w:p>
      <w:pPr>
        <w:spacing w:after="80"/>
      </w:pPr>
      <w:r>
        <w:rPr>
          <w:rFonts w:ascii="Times New Roman" w:hAnsi="Times New Roman"/>
          <w:b w:val="0"/>
          <w:i w:val="0"/>
          <w:sz w:val="26"/>
        </w:rPr>
        <w:t>Phan HT Vy et al. (YHVN 2025;552(3)): Multiplex-time PCR CAP nặng Cần Thơ — nguồn tính cỡ mẫu n=119 [27 — phiên 1].</w:t>
      </w:r>
    </w:p>
    <w:p>
      <w:pPr>
        <w:spacing w:after="80"/>
      </w:pPr>
      <w:r>
        <w:rPr>
          <w:rFonts w:ascii="Times New Roman" w:hAnsi="Times New Roman"/>
          <w:b w:val="0"/>
          <w:i w:val="0"/>
          <w:sz w:val="26"/>
        </w:rPr>
        <w:t>Lý Khánh Vân et al. (YHVN 2025;554(1)): CAP có và không có đái tháo đường [28 — phiên 1].</w:t>
      </w:r>
    </w:p>
    <w:p>
      <w:pPr>
        <w:spacing w:after="80"/>
      </w:pPr>
      <w:r>
        <w:rPr>
          <w:rFonts w:ascii="Times New Roman" w:hAnsi="Times New Roman"/>
          <w:b w:val="0"/>
          <w:i w:val="0"/>
          <w:sz w:val="26"/>
        </w:rPr>
        <w:t>Nguyễn Thanh Huyền et al. (YHVN 2025;551(3)): PCR virus CAP tại Bạch Mai [29 — phiên 1].</w:t>
      </w:r>
    </w:p>
    <w:p>
      <w:pPr>
        <w:spacing w:after="80"/>
      </w:pPr>
      <w:r>
        <w:rPr>
          <w:rFonts w:ascii="Times New Roman" w:hAnsi="Times New Roman"/>
          <w:b w:val="0"/>
          <w:i w:val="0"/>
          <w:sz w:val="26"/>
        </w:rPr>
        <w:t>Corica et al. (Intern Emerg Med 2022): Giới tính và CAP — sex differences [30 — phiên 1].</w:t>
      </w:r>
    </w:p>
    <w:p>
      <w:pPr>
        <w:spacing w:after="80"/>
      </w:pPr>
      <w:r>
        <w:rPr>
          <w:rFonts w:ascii="Times New Roman" w:hAnsi="Times New Roman"/>
          <w:b w:val="0"/>
          <w:i w:val="0"/>
          <w:sz w:val="26"/>
        </w:rPr>
        <w:t>Lê Thị Diệu Hiền et al. (YHVN 2021): TNF-α, IL-6, IL-10 trong CAP vi khuẩn, BV Việt Tiệp Hải Phòng — CÙNG bệnh viện! [47 — phiên 2].</w:t>
      </w:r>
    </w:p>
    <w:p>
      <w:pPr>
        <w:spacing w:after="80"/>
      </w:pPr>
      <w:r>
        <w:rPr>
          <w:rFonts w:ascii="Times New Roman" w:hAnsi="Times New Roman"/>
          <w:b w:val="0"/>
          <w:i w:val="0"/>
          <w:sz w:val="26"/>
        </w:rPr>
        <w:t>Lê Bảo Huy, Nguyễn Đức Công (YHVN 2022): K. pneumoniae ESBL-producing CAP, n=146: ESBL chiếm 37,7%, tử vong 23,6%, PCT cao hơn và nằm viện dài hơn nhóm ESBL [49 — phiên 2].</w:t>
      </w:r>
    </w:p>
    <w:p>
      <w:pPr>
        <w:spacing w:after="80"/>
      </w:pPr>
      <w:r>
        <w:rPr>
          <w:rFonts w:ascii="Times New Roman" w:hAnsi="Times New Roman"/>
          <w:b w:val="0"/>
          <w:i w:val="0"/>
          <w:sz w:val="26"/>
        </w:rPr>
        <w:t>Bạch Thái Dương et al. (YHVN 2024): MDRO 89,2% trong CAP người lớn, Cần Thơ [48 — phiên 2].</w:t>
      </w:r>
    </w:p>
    <w:p>
      <w:pPr>
        <w:spacing w:after="80"/>
      </w:pPr>
      <w:r>
        <w:rPr>
          <w:rFonts w:ascii="Times New Roman" w:hAnsi="Times New Roman"/>
          <w:b w:val="0"/>
          <w:i w:val="0"/>
          <w:sz w:val="26"/>
        </w:rPr>
        <w:t>Đỗ Thanh Hoà et al. (YHVN 2025): PSI vs NEWS vs NEWS-L vs CURB-65 dự đoán ICU admission, n=350 BV Quân y 108: PSI tốt nhất (AUC 0,85), NEWS và NEWS-L (0,84 và 0,83) vượt CURB-65 [49 — phiên 2].</w:t>
      </w:r>
    </w:p>
    <w:p>
      <w:r>
        <w:br w:type="page"/>
      </w:r>
    </w:p>
    <w:p>
      <w:pPr>
        <w:spacing w:before="280" w:after="120"/>
      </w:pPr>
      <w:r>
        <w:rPr>
          <w:rFonts w:ascii="Times New Roman" w:hAnsi="Times New Roman"/>
          <w:b/>
          <w:color w:val="00467F"/>
          <w:sz w:val="28"/>
        </w:rPr>
        <w:t>V. 5 KHOẢNG TRỐNG NGHIÊN CỨU ĐÃ XÁC ĐỊNH</w:t>
      </w:r>
    </w:p>
    <w:p>
      <w:pPr>
        <w:spacing w:before="200" w:after="80"/>
      </w:pPr>
      <w:r>
        <w:rPr>
          <w:rFonts w:ascii="Times New Roman" w:hAnsi="Times New Roman"/>
          <w:b/>
          <w:color w:val="1F497D"/>
          <w:sz w:val="26"/>
        </w:rPr>
        <w:t>Khoảng trống 1 — TIMP-1 sex-specific tại Châu Á ★★★★★</w:t>
      </w:r>
    </w:p>
    <w:p>
      <w:pPr>
        <w:spacing w:before="80" w:after="120"/>
        <w:ind w:left="283" w:right="283"/>
        <w:pBdr>
          <w:top w:val="single" w:sz="12" w:space="4" w:color="1F497D"/>
          <w:left w:val="single" w:sz="12" w:space="4" w:color="1F497D"/>
          <w:bottom w:val="single" w:sz="12" w:space="4" w:color="1F497D"/>
          <w:right w:val="single" w:sz="12" w:space="4" w:color="1F497D"/>
        </w:pBdr>
      </w:pPr>
      <w:r>
        <w:rPr>
          <w:rFonts w:ascii="Times New Roman" w:hAnsi="Times New Roman"/>
          <w:color w:val="1F497D"/>
          <w:sz w:val="26"/>
        </w:rPr>
        <w:t>Đây là khoảng trống nghiên cứu có giá trị khoa học cao nhất — kết quả dương tính sẽ là phát hiện hoàn toàn mới từ châu Á</w:t>
      </w:r>
    </w:p>
    <w:p>
      <w:pPr>
        <w:spacing w:after="60"/>
        <w:ind w:left="567" w:hanging="283"/>
      </w:pPr>
      <w:r>
        <w:rPr>
          <w:rFonts w:ascii="Times New Roman" w:hAnsi="Times New Roman"/>
          <w:sz w:val="26"/>
        </w:rPr>
        <w:t>• Bằng chứng nền: Almuntashiri 2022 — TIMP-1 AUC 0,87 ở nữ ARDS (Mỹ, n=100) [6]</w:t>
      </w:r>
    </w:p>
    <w:p>
      <w:pPr>
        <w:spacing w:after="60"/>
        <w:ind w:left="567" w:hanging="283"/>
      </w:pPr>
      <w:r>
        <w:rPr>
          <w:rFonts w:ascii="Times New Roman" w:hAnsi="Times New Roman"/>
          <w:sz w:val="26"/>
        </w:rPr>
        <w:t>• Cơ chế: TIMP-1 gen X-linked, điều hòa bởi estrogen qua ERα [34]</w:t>
      </w:r>
    </w:p>
    <w:p>
      <w:pPr>
        <w:spacing w:after="60"/>
        <w:ind w:left="567" w:hanging="283"/>
      </w:pPr>
      <w:r>
        <w:rPr>
          <w:rFonts w:ascii="Times New Roman" w:hAnsi="Times New Roman"/>
          <w:sz w:val="26"/>
        </w:rPr>
        <w:t>• Khoảng trống: Chưa có BẤT KỲ nghiên cứu TIMP-1 trong CAP/ARDS từ châu Á</w:t>
      </w:r>
    </w:p>
    <w:p>
      <w:pPr>
        <w:spacing w:after="60"/>
        <w:ind w:left="567" w:hanging="283"/>
      </w:pPr>
      <w:r>
        <w:rPr>
          <w:rFonts w:ascii="Times New Roman" w:hAnsi="Times New Roman"/>
          <w:sz w:val="26"/>
        </w:rPr>
        <w:t>• Biến cần: gioiTinh + TIMP-1 + kết cục — ĐÃ CÓ trong app</w:t>
      </w:r>
    </w:p>
    <w:p>
      <w:pPr>
        <w:spacing w:after="60"/>
        <w:ind w:left="567" w:hanging="283"/>
      </w:pPr>
      <w:r>
        <w:rPr>
          <w:rFonts w:ascii="Times New Roman" w:hAnsi="Times New Roman"/>
          <w:sz w:val="26"/>
        </w:rPr>
        <w:t>• Phân tích: ROC stratified by sex; Kaplan-Meier theo nhóm TIMP-1 cao/thấp</w:t>
      </w:r>
    </w:p>
    <w:p>
      <w:pPr>
        <w:spacing w:before="200" w:after="80"/>
      </w:pPr>
      <w:r>
        <w:rPr>
          <w:rFonts w:ascii="Times New Roman" w:hAnsi="Times New Roman"/>
          <w:b/>
          <w:color w:val="1F497D"/>
          <w:sz w:val="26"/>
        </w:rPr>
        <w:t>Khoảng trống 2 — Pattern Cytokine theo PCR tác nhân tại Việt Nam ★★★★★</w:t>
      </w:r>
    </w:p>
    <w:p>
      <w:pPr>
        <w:spacing w:after="60"/>
        <w:ind w:left="567" w:hanging="283"/>
      </w:pPr>
      <w:r>
        <w:rPr>
          <w:rFonts w:ascii="Times New Roman" w:hAnsi="Times New Roman"/>
          <w:sz w:val="26"/>
        </w:rPr>
        <w:t>• Bằng chứng nền: Menéndez 2012 — đã lập bản đồ cho S. pneumoniae/Legionella/Mycoplasma (Tây Ban Nha) [11]</w:t>
      </w:r>
    </w:p>
    <w:p>
      <w:pPr>
        <w:spacing w:after="60"/>
        <w:ind w:left="567" w:hanging="283"/>
      </w:pPr>
      <w:r>
        <w:rPr>
          <w:rFonts w:ascii="Times New Roman" w:hAnsi="Times New Roman"/>
          <w:sz w:val="26"/>
        </w:rPr>
        <w:t>• Tương tự VN: Lê Thị Diệu Hiền 2021 — dữ liệu VK Gram âm (79,5%) tại chính BV Việt Tiệp, HP [47]</w:t>
      </w:r>
    </w:p>
    <w:p>
      <w:pPr>
        <w:spacing w:after="60"/>
        <w:ind w:left="567" w:hanging="283"/>
      </w:pPr>
      <w:r>
        <w:rPr>
          <w:rFonts w:ascii="Times New Roman" w:hAnsi="Times New Roman"/>
          <w:sz w:val="26"/>
        </w:rPr>
        <w:t>• Khoảng trống: Chưa có pattern cho K. pneumoniae MDR và A. baumannii — tác nhân đặc thù Việt Nam</w:t>
      </w:r>
    </w:p>
    <w:p>
      <w:pPr>
        <w:spacing w:after="60"/>
        <w:ind w:left="567" w:hanging="283"/>
      </w:pPr>
      <w:r>
        <w:rPr>
          <w:rFonts w:ascii="Times New Roman" w:hAnsi="Times New Roman"/>
          <w:sz w:val="26"/>
        </w:rPr>
        <w:t>• Biến cần: PCR data (CHƯA CÓ trong app — cần bổ sung gấp)</w:t>
      </w:r>
    </w:p>
    <w:p>
      <w:pPr>
        <w:spacing w:before="200" w:after="80"/>
      </w:pPr>
      <w:r>
        <w:rPr>
          <w:rFonts w:ascii="Times New Roman" w:hAnsi="Times New Roman"/>
          <w:b/>
          <w:color w:val="1F497D"/>
          <w:sz w:val="26"/>
        </w:rPr>
        <w:t>Khoảng trống 3 — Ngưỡng cắt NLR/PLR/CAR cho người Việt ★★★</w:t>
      </w:r>
    </w:p>
    <w:p>
      <w:pPr>
        <w:spacing w:after="60"/>
        <w:ind w:left="567" w:hanging="283"/>
      </w:pPr>
      <w:r>
        <w:rPr>
          <w:rFonts w:ascii="Times New Roman" w:hAnsi="Times New Roman"/>
          <w:sz w:val="26"/>
        </w:rPr>
        <w:t>• Cutoff quốc tế: NLR &gt;10 (meta-analysis đa quốc gia), CAR &gt;0,77 (Thổ Nhĩ Kỳ), PLR AUC 0,9935 (Pakistan) [16,18,37]</w:t>
      </w:r>
    </w:p>
    <w:p>
      <w:pPr>
        <w:spacing w:after="60"/>
        <w:ind w:left="567" w:hanging="283"/>
      </w:pPr>
      <w:r>
        <w:rPr>
          <w:rFonts w:ascii="Times New Roman" w:hAnsi="Times New Roman"/>
          <w:sz w:val="26"/>
        </w:rPr>
        <w:t>• Tuy nhiên: Enersen 2023 (châu Âu, 3.294 BN) cho thấy thêm NLR/PLR vào CURB-65 KHÔNG cải thiện AUC [36]</w:t>
      </w:r>
    </w:p>
    <w:p>
      <w:pPr>
        <w:spacing w:after="60"/>
        <w:ind w:left="567" w:hanging="283"/>
      </w:pPr>
      <w:r>
        <w:rPr>
          <w:rFonts w:ascii="Times New Roman" w:hAnsi="Times New Roman"/>
          <w:sz w:val="26"/>
        </w:rPr>
        <w:t>• Khoảng trống: Ngưỡng cắt nội địa VN — dân số khác về nhân trắc học, bệnh nền, vi khuẩn đặc thù</w:t>
      </w:r>
    </w:p>
    <w:p>
      <w:pPr>
        <w:spacing w:after="60"/>
        <w:ind w:left="567" w:hanging="283"/>
      </w:pPr>
      <w:r>
        <w:rPr>
          <w:rFonts w:ascii="Times New Roman" w:hAnsi="Times New Roman"/>
          <w:sz w:val="26"/>
        </w:rPr>
        <w:t>• Giá trị: Xác lập ngưỡng ứng dụng tại VN; so sánh với quốc tế</w:t>
      </w:r>
    </w:p>
    <w:p>
      <w:pPr>
        <w:spacing w:before="200" w:after="80"/>
      </w:pPr>
      <w:r>
        <w:rPr>
          <w:rFonts w:ascii="Times New Roman" w:hAnsi="Times New Roman"/>
          <w:b/>
          <w:color w:val="1F497D"/>
          <w:sz w:val="26"/>
        </w:rPr>
        <w:t>Khoảng trống 4 — Mô hình PSI + Biomarker mới tại Việt Nam ★★★★</w:t>
      </w:r>
    </w:p>
    <w:p>
      <w:pPr>
        <w:spacing w:after="60"/>
        <w:ind w:left="567" w:hanging="283"/>
      </w:pPr>
      <w:r>
        <w:rPr>
          <w:rFonts w:ascii="Times New Roman" w:hAnsi="Times New Roman"/>
          <w:sz w:val="26"/>
        </w:rPr>
        <w:t>• Nền: Menéndez 2009 — PSI + CRP + IL-6 AUC 0,88 [23]; Andrijević 2014 — IL-6 cutoff 20,2 pg/mL AUC 0,934 [39]</w:t>
      </w:r>
    </w:p>
    <w:p>
      <w:pPr>
        <w:spacing w:after="60"/>
        <w:ind w:left="567" w:hanging="283"/>
      </w:pPr>
      <w:r>
        <w:rPr>
          <w:rFonts w:ascii="Times New Roman" w:hAnsi="Times New Roman"/>
          <w:sz w:val="26"/>
        </w:rPr>
        <w:t>• Dữ liệu VN: Đỗ Thanh Hoà 2025 — PSI AUC 0,85 tốt nhất cho dự đoán ICU [49]</w:t>
      </w:r>
    </w:p>
    <w:p>
      <w:pPr>
        <w:spacing w:after="60"/>
        <w:ind w:left="567" w:hanging="283"/>
      </w:pPr>
      <w:r>
        <w:rPr>
          <w:rFonts w:ascii="Times New Roman" w:hAnsi="Times New Roman"/>
          <w:sz w:val="26"/>
        </w:rPr>
        <w:t>• Khoảng trống: Mô hình PSI + sTREM-1/TIMP-1/IL-17 chưa có tại Việt Nam</w:t>
      </w:r>
    </w:p>
    <w:p>
      <w:pPr>
        <w:spacing w:after="60"/>
        <w:ind w:left="567" w:hanging="283"/>
      </w:pPr>
      <w:r>
        <w:rPr>
          <w:rFonts w:ascii="Times New Roman" w:hAnsi="Times New Roman"/>
          <w:sz w:val="26"/>
        </w:rPr>
        <w:t>• Phân tích: Logistic regression đa biến; nếu đủ mẫu có thể thử ML [42]</w:t>
      </w:r>
    </w:p>
    <w:p>
      <w:pPr>
        <w:spacing w:before="200" w:after="80"/>
      </w:pPr>
      <w:r>
        <w:rPr>
          <w:rFonts w:ascii="Times New Roman" w:hAnsi="Times New Roman"/>
          <w:b/>
          <w:color w:val="1F497D"/>
          <w:sz w:val="26"/>
        </w:rPr>
        <w:t>Khoảng trống 5 — MDR vi khuẩn — Biomarker — Kết cục ★★★★</w:t>
      </w:r>
    </w:p>
    <w:p>
      <w:pPr>
        <w:spacing w:after="60"/>
        <w:ind w:left="567" w:hanging="283"/>
      </w:pPr>
      <w:r>
        <w:rPr>
          <w:rFonts w:ascii="Times New Roman" w:hAnsi="Times New Roman"/>
          <w:sz w:val="26"/>
        </w:rPr>
        <w:t>• Bằng chứng: MDR A. baumannii 45,5%, MDR K. pneumoniae 33,3% trong CAP tại VN [48]</w:t>
      </w:r>
    </w:p>
    <w:p>
      <w:pPr>
        <w:spacing w:after="60"/>
        <w:ind w:left="567" w:hanging="283"/>
      </w:pPr>
      <w:r>
        <w:rPr>
          <w:rFonts w:ascii="Times New Roman" w:hAnsi="Times New Roman"/>
          <w:sz w:val="26"/>
        </w:rPr>
        <w:t>• Bằng chứng phân tử: MDR-KP gây cytokine tiền viêm cao hơn qua siderophore [40]</w:t>
      </w:r>
    </w:p>
    <w:p>
      <w:pPr>
        <w:spacing w:after="60"/>
        <w:ind w:left="567" w:hanging="283"/>
      </w:pPr>
      <w:r>
        <w:rPr>
          <w:rFonts w:ascii="Times New Roman" w:hAnsi="Times New Roman"/>
          <w:sz w:val="26"/>
        </w:rPr>
        <w:t>• Bằng chứng lâm sàng: MDR S. pneumoniae có CRP cao hơn 4,8 lần non-MDR [horhat 2021]</w:t>
      </w:r>
    </w:p>
    <w:p>
      <w:pPr>
        <w:spacing w:after="60"/>
        <w:ind w:left="567" w:hanging="283"/>
      </w:pPr>
      <w:r>
        <w:rPr>
          <w:rFonts w:ascii="Times New Roman" w:hAnsi="Times New Roman"/>
          <w:sz w:val="26"/>
        </w:rPr>
        <w:t>• Bằng chứng PSI: BN MDR có PSI score cao hơn đáng kể [41]</w:t>
      </w:r>
    </w:p>
    <w:p>
      <w:pPr>
        <w:spacing w:after="60"/>
        <w:ind w:left="567" w:hanging="283"/>
      </w:pPr>
      <w:r>
        <w:rPr>
          <w:rFonts w:ascii="Times New Roman" w:hAnsi="Times New Roman"/>
          <w:sz w:val="26"/>
        </w:rPr>
        <w:t>• Biến cần: khangSinhDo[].mucDo — ĐÃ CÓ trong app</w:t>
      </w:r>
    </w:p>
    <w:p>
      <w:pPr>
        <w:spacing w:after="60"/>
        <w:ind w:left="567" w:hanging="283"/>
      </w:pPr>
      <w:r>
        <w:rPr>
          <w:rFonts w:ascii="Times New Roman" w:hAnsi="Times New Roman"/>
          <w:sz w:val="26"/>
        </w:rPr>
        <w:t>• Phân tích: So sánh biomarker giữa nhóm MDR vs không MDR; kết cục 30 ngày</w:t>
      </w:r>
    </w:p>
    <w:p>
      <w:r>
        <w:br w:type="page"/>
      </w:r>
    </w:p>
    <w:p>
      <w:pPr>
        <w:spacing w:before="280" w:after="120"/>
      </w:pPr>
      <w:r>
        <w:rPr>
          <w:rFonts w:ascii="Times New Roman" w:hAnsi="Times New Roman"/>
          <w:b/>
          <w:color w:val="00467F"/>
          <w:sz w:val="28"/>
        </w:rPr>
        <w:t>VI. ĐỀ XUẤT PHÂN TÍCH BỔ SUNG</w:t>
      </w:r>
    </w:p>
    <w:p>
      <w:pPr>
        <w:spacing w:before="200" w:after="80"/>
      </w:pPr>
      <w:r>
        <w:rPr>
          <w:rFonts w:ascii="Times New Roman" w:hAnsi="Times New Roman"/>
          <w:b/>
          <w:color w:val="1F497D"/>
          <w:sz w:val="26"/>
        </w:rPr>
        <w:t>Nhóm A — Bổ sung Mục tiêu 1 (Mô tả)</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510"/>
        </w:trPr>
        <w:tc>
          <w:tcPr>
            <w:tcW w:type="dxa" w:w="850"/>
            <w:vAlign w:val="center"/>
            <w:shd w:val="clear" w:color="auto" w:fill="1F497D"/>
          </w:tcPr>
          <w:p>
            <w:pPr>
              <w:jc w:val="center"/>
            </w:pPr>
            <w:r>
              <w:rPr>
                <w:rFonts w:ascii="Times New Roman" w:hAnsi="Times New Roman"/>
                <w:b/>
                <w:color w:val="FFFFFF"/>
                <w:sz w:val="24"/>
              </w:rPr>
              <w:t>Bảng</w:t>
            </w:r>
          </w:p>
        </w:tc>
        <w:tc>
          <w:tcPr>
            <w:tcW w:type="dxa" w:w="2551"/>
            <w:vAlign w:val="center"/>
            <w:shd w:val="clear" w:color="auto" w:fill="1F497D"/>
          </w:tcPr>
          <w:p>
            <w:pPr>
              <w:jc w:val="center"/>
            </w:pPr>
            <w:r>
              <w:rPr>
                <w:rFonts w:ascii="Times New Roman" w:hAnsi="Times New Roman"/>
                <w:b/>
                <w:color w:val="FFFFFF"/>
                <w:sz w:val="24"/>
              </w:rPr>
              <w:t>Nội dung</w:t>
            </w:r>
          </w:p>
        </w:tc>
        <w:tc>
          <w:tcPr>
            <w:tcW w:type="dxa" w:w="1984"/>
            <w:vAlign w:val="center"/>
            <w:shd w:val="clear" w:color="auto" w:fill="1F497D"/>
          </w:tcPr>
          <w:p>
            <w:pPr>
              <w:jc w:val="center"/>
            </w:pPr>
            <w:r>
              <w:rPr>
                <w:rFonts w:ascii="Times New Roman" w:hAnsi="Times New Roman"/>
                <w:b/>
                <w:color w:val="FFFFFF"/>
                <w:sz w:val="24"/>
              </w:rPr>
              <w:t>Biến cần</w:t>
            </w:r>
          </w:p>
        </w:tc>
        <w:tc>
          <w:tcPr>
            <w:tcW w:type="dxa" w:w="1417"/>
            <w:vAlign w:val="center"/>
            <w:shd w:val="clear" w:color="auto" w:fill="1F497D"/>
          </w:tcPr>
          <w:p>
            <w:pPr>
              <w:jc w:val="center"/>
            </w:pPr>
            <w:r>
              <w:rPr>
                <w:rFonts w:ascii="Times New Roman" w:hAnsi="Times New Roman"/>
                <w:b/>
                <w:color w:val="FFFFFF"/>
                <w:sz w:val="24"/>
              </w:rPr>
              <w:t>Khoảng trống</w:t>
            </w:r>
          </w:p>
        </w:tc>
        <w:tc>
          <w:tcPr>
            <w:tcW w:type="dxa" w:w="1417"/>
            <w:vAlign w:val="center"/>
            <w:shd w:val="clear" w:color="auto" w:fill="1F497D"/>
          </w:tcPr>
          <w:p>
            <w:pPr>
              <w:jc w:val="center"/>
            </w:pPr>
            <w:r>
              <w:rPr>
                <w:rFonts w:ascii="Times New Roman" w:hAnsi="Times New Roman"/>
                <w:b/>
                <w:color w:val="FFFFFF"/>
                <w:sz w:val="24"/>
              </w:rPr>
              <w:t>Biến có sẵn?</w:t>
            </w:r>
          </w:p>
        </w:tc>
      </w:tr>
      <w:tr>
        <w:tc>
          <w:tcPr>
            <w:tcW w:type="dxa" w:w="850"/>
            <w:vAlign w:val="center"/>
            <w:shd w:val="clear" w:color="auto" w:fill="EEF4FB"/>
          </w:tcPr>
          <w:p>
            <w:pPr>
              <w:jc w:val="center"/>
            </w:pPr>
            <w:r>
              <w:rPr>
                <w:rFonts w:ascii="Times New Roman" w:hAnsi="Times New Roman"/>
                <w:b w:val="0"/>
                <w:sz w:val="23"/>
              </w:rPr>
              <w:t>A1</w:t>
            </w:r>
          </w:p>
        </w:tc>
        <w:tc>
          <w:tcPr>
            <w:tcW w:type="dxa" w:w="2551"/>
            <w:vAlign w:val="center"/>
            <w:shd w:val="clear" w:color="auto" w:fill="EEF4FB"/>
          </w:tcPr>
          <w:p>
            <w:pPr>
              <w:jc w:val="center"/>
            </w:pPr>
            <w:r>
              <w:rPr>
                <w:rFonts w:ascii="Times New Roman" w:hAnsi="Times New Roman"/>
                <w:b w:val="0"/>
                <w:sz w:val="23"/>
              </w:rPr>
              <w:t>Biomarker theo giới tính (nam/nữ) — thống kê mô tả + so sánh</w:t>
            </w:r>
          </w:p>
        </w:tc>
        <w:tc>
          <w:tcPr>
            <w:tcW w:type="dxa" w:w="1984"/>
            <w:vAlign w:val="center"/>
            <w:shd w:val="clear" w:color="auto" w:fill="EEF4FB"/>
          </w:tcPr>
          <w:p>
            <w:pPr>
              <w:jc w:val="center"/>
            </w:pPr>
            <w:r>
              <w:rPr>
                <w:rFonts w:ascii="Times New Roman" w:hAnsi="Times New Roman"/>
                <w:b w:val="0"/>
                <w:sz w:val="23"/>
              </w:rPr>
              <w:t>gioiTinh, 5 biomarker</w:t>
            </w:r>
          </w:p>
        </w:tc>
        <w:tc>
          <w:tcPr>
            <w:tcW w:type="dxa" w:w="1417"/>
            <w:vAlign w:val="center"/>
            <w:shd w:val="clear" w:color="auto" w:fill="EEF4FB"/>
          </w:tcPr>
          <w:p>
            <w:pPr>
              <w:jc w:val="center"/>
            </w:pPr>
            <w:r>
              <w:rPr>
                <w:rFonts w:ascii="Times New Roman" w:hAnsi="Times New Roman"/>
                <w:b w:val="0"/>
                <w:sz w:val="23"/>
              </w:rPr>
              <w:t>KT1 (TIMP-1)</w:t>
            </w:r>
          </w:p>
        </w:tc>
        <w:tc>
          <w:tcPr>
            <w:tcW w:type="dxa" w:w="1417"/>
            <w:vAlign w:val="center"/>
            <w:shd w:val="clear" w:color="auto" w:fill="EEF4FB"/>
          </w:tcPr>
          <w:p>
            <w:pPr>
              <w:jc w:val="center"/>
            </w:pPr>
            <w:r>
              <w:rPr>
                <w:rFonts w:ascii="Times New Roman" w:hAnsi="Times New Roman"/>
                <w:b w:val="0"/>
                <w:sz w:val="23"/>
              </w:rPr>
              <w:t>✅ Có sẵn</w:t>
            </w:r>
          </w:p>
        </w:tc>
      </w:tr>
      <w:tr>
        <w:tc>
          <w:tcPr>
            <w:tcW w:type="dxa" w:w="850"/>
            <w:vAlign w:val="center"/>
            <w:shd w:val="clear" w:color="auto" w:fill="FFFFFF"/>
          </w:tcPr>
          <w:p>
            <w:pPr>
              <w:jc w:val="center"/>
            </w:pPr>
            <w:r>
              <w:rPr>
                <w:rFonts w:ascii="Times New Roman" w:hAnsi="Times New Roman"/>
                <w:b w:val="0"/>
                <w:sz w:val="23"/>
              </w:rPr>
              <w:t>A2</w:t>
            </w:r>
          </w:p>
        </w:tc>
        <w:tc>
          <w:tcPr>
            <w:tcW w:type="dxa" w:w="2551"/>
            <w:vAlign w:val="center"/>
            <w:shd w:val="clear" w:color="auto" w:fill="FFFFFF"/>
          </w:tcPr>
          <w:p>
            <w:pPr>
              <w:jc w:val="center"/>
            </w:pPr>
            <w:r>
              <w:rPr>
                <w:rFonts w:ascii="Times New Roman" w:hAnsi="Times New Roman"/>
                <w:b w:val="0"/>
                <w:sz w:val="23"/>
              </w:rPr>
              <w:t>Biomarker theo loại tác nhân PCR (điển hình/KĐH/virus)</w:t>
            </w:r>
          </w:p>
        </w:tc>
        <w:tc>
          <w:tcPr>
            <w:tcW w:type="dxa" w:w="1984"/>
            <w:vAlign w:val="center"/>
            <w:shd w:val="clear" w:color="auto" w:fill="FFFFFF"/>
          </w:tcPr>
          <w:p>
            <w:pPr>
              <w:jc w:val="center"/>
            </w:pPr>
            <w:r>
              <w:rPr>
                <w:rFonts w:ascii="Times New Roman" w:hAnsi="Times New Roman"/>
                <w:b w:val="0"/>
                <w:sz w:val="23"/>
              </w:rPr>
              <w:t>PCR data</w:t>
            </w:r>
          </w:p>
        </w:tc>
        <w:tc>
          <w:tcPr>
            <w:tcW w:type="dxa" w:w="1417"/>
            <w:vAlign w:val="center"/>
            <w:shd w:val="clear" w:color="auto" w:fill="FFFFFF"/>
          </w:tcPr>
          <w:p>
            <w:pPr>
              <w:jc w:val="center"/>
            </w:pPr>
            <w:r>
              <w:rPr>
                <w:rFonts w:ascii="Times New Roman" w:hAnsi="Times New Roman"/>
                <w:b w:val="0"/>
                <w:sz w:val="23"/>
              </w:rPr>
              <w:t>KT2</w:t>
            </w:r>
          </w:p>
        </w:tc>
        <w:tc>
          <w:tcPr>
            <w:tcW w:type="dxa" w:w="1417"/>
            <w:vAlign w:val="center"/>
            <w:shd w:val="clear" w:color="auto" w:fill="FFFFFF"/>
          </w:tcPr>
          <w:p>
            <w:pPr>
              <w:jc w:val="center"/>
            </w:pPr>
            <w:r>
              <w:rPr>
                <w:rFonts w:ascii="Times New Roman" w:hAnsi="Times New Roman"/>
                <w:b w:val="0"/>
                <w:sz w:val="23"/>
              </w:rPr>
              <w:t>❌ Cần thêm</w:t>
            </w:r>
          </w:p>
        </w:tc>
      </w:tr>
      <w:tr>
        <w:tc>
          <w:tcPr>
            <w:tcW w:type="dxa" w:w="850"/>
            <w:vAlign w:val="center"/>
            <w:shd w:val="clear" w:color="auto" w:fill="EEF4FB"/>
          </w:tcPr>
          <w:p>
            <w:pPr>
              <w:jc w:val="center"/>
            </w:pPr>
            <w:r>
              <w:rPr>
                <w:rFonts w:ascii="Times New Roman" w:hAnsi="Times New Roman"/>
                <w:b w:val="0"/>
                <w:sz w:val="23"/>
              </w:rPr>
              <w:t>A3</w:t>
            </w:r>
          </w:p>
        </w:tc>
        <w:tc>
          <w:tcPr>
            <w:tcW w:type="dxa" w:w="2551"/>
            <w:vAlign w:val="center"/>
            <w:shd w:val="clear" w:color="auto" w:fill="EEF4FB"/>
          </w:tcPr>
          <w:p>
            <w:pPr>
              <w:jc w:val="center"/>
            </w:pPr>
            <w:r>
              <w:rPr>
                <w:rFonts w:ascii="Times New Roman" w:hAnsi="Times New Roman"/>
                <w:b w:val="0"/>
                <w:sz w:val="23"/>
              </w:rPr>
              <w:t>Tỷ lệ đồng nhiễm ≥2 tác nhân và mức độ nặng PSI</w:t>
            </w:r>
          </w:p>
        </w:tc>
        <w:tc>
          <w:tcPr>
            <w:tcW w:type="dxa" w:w="1984"/>
            <w:vAlign w:val="center"/>
            <w:shd w:val="clear" w:color="auto" w:fill="EEF4FB"/>
          </w:tcPr>
          <w:p>
            <w:pPr>
              <w:jc w:val="center"/>
            </w:pPr>
            <w:r>
              <w:rPr>
                <w:rFonts w:ascii="Times New Roman" w:hAnsi="Times New Roman"/>
                <w:b w:val="0"/>
                <w:sz w:val="23"/>
              </w:rPr>
              <w:t>PCR data</w:t>
            </w:r>
          </w:p>
        </w:tc>
        <w:tc>
          <w:tcPr>
            <w:tcW w:type="dxa" w:w="1417"/>
            <w:vAlign w:val="center"/>
            <w:shd w:val="clear" w:color="auto" w:fill="EEF4FB"/>
          </w:tcPr>
          <w:p>
            <w:pPr>
              <w:jc w:val="center"/>
            </w:pPr>
            <w:r>
              <w:rPr>
                <w:rFonts w:ascii="Times New Roman" w:hAnsi="Times New Roman"/>
                <w:b w:val="0"/>
                <w:sz w:val="23"/>
              </w:rPr>
              <w:t>KT2</w:t>
            </w:r>
          </w:p>
        </w:tc>
        <w:tc>
          <w:tcPr>
            <w:tcW w:type="dxa" w:w="1417"/>
            <w:vAlign w:val="center"/>
            <w:shd w:val="clear" w:color="auto" w:fill="EEF4FB"/>
          </w:tcPr>
          <w:p>
            <w:pPr>
              <w:jc w:val="center"/>
            </w:pPr>
            <w:r>
              <w:rPr>
                <w:rFonts w:ascii="Times New Roman" w:hAnsi="Times New Roman"/>
                <w:b w:val="0"/>
                <w:sz w:val="23"/>
              </w:rPr>
              <w:t>❌ Cần thêm</w:t>
            </w:r>
          </w:p>
        </w:tc>
      </w:tr>
    </w:tbl>
    <w:p>
      <w:pPr>
        <w:spacing w:before="200" w:after="80"/>
      </w:pPr>
      <w:r>
        <w:rPr>
          <w:rFonts w:ascii="Times New Roman" w:hAnsi="Times New Roman"/>
          <w:b/>
          <w:color w:val="1F497D"/>
          <w:sz w:val="26"/>
        </w:rPr>
        <w:t>Nhóm B — Bổ sung Mục tiêu 2 (Liên quan)</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850"/>
            <w:vAlign w:val="center"/>
            <w:shd w:val="clear" w:color="auto" w:fill="1F497D"/>
          </w:tcPr>
          <w:p>
            <w:pPr>
              <w:jc w:val="center"/>
            </w:pPr>
            <w:r>
              <w:rPr>
                <w:rFonts w:ascii="Times New Roman" w:hAnsi="Times New Roman"/>
                <w:b/>
                <w:color w:val="FFFFFF"/>
                <w:sz w:val="24"/>
              </w:rPr>
              <w:t>Bảng</w:t>
            </w:r>
          </w:p>
        </w:tc>
        <w:tc>
          <w:tcPr>
            <w:tcW w:type="dxa" w:w="3685"/>
            <w:vAlign w:val="center"/>
            <w:shd w:val="clear" w:color="auto" w:fill="1F497D"/>
          </w:tcPr>
          <w:p>
            <w:pPr>
              <w:jc w:val="center"/>
            </w:pPr>
            <w:r>
              <w:rPr>
                <w:rFonts w:ascii="Times New Roman" w:hAnsi="Times New Roman"/>
                <w:b/>
                <w:color w:val="FFFFFF"/>
                <w:sz w:val="24"/>
              </w:rPr>
              <w:t>Nội dung</w:t>
            </w:r>
          </w:p>
        </w:tc>
        <w:tc>
          <w:tcPr>
            <w:tcW w:type="dxa" w:w="2268"/>
            <w:vAlign w:val="center"/>
            <w:shd w:val="clear" w:color="auto" w:fill="1F497D"/>
          </w:tcPr>
          <w:p>
            <w:pPr>
              <w:jc w:val="center"/>
            </w:pPr>
            <w:r>
              <w:rPr>
                <w:rFonts w:ascii="Times New Roman" w:hAnsi="Times New Roman"/>
                <w:b/>
                <w:color w:val="FFFFFF"/>
                <w:sz w:val="24"/>
              </w:rPr>
              <w:t>Biến cần</w:t>
            </w:r>
          </w:p>
        </w:tc>
        <w:tc>
          <w:tcPr>
            <w:tcW w:type="dxa" w:w="1417"/>
            <w:vAlign w:val="center"/>
            <w:shd w:val="clear" w:color="auto" w:fill="1F497D"/>
          </w:tcPr>
          <w:p>
            <w:pPr>
              <w:jc w:val="center"/>
            </w:pPr>
            <w:r>
              <w:rPr>
                <w:rFonts w:ascii="Times New Roman" w:hAnsi="Times New Roman"/>
                <w:b/>
                <w:color w:val="FFFFFF"/>
                <w:sz w:val="24"/>
              </w:rPr>
              <w:t>Ưu tiên</w:t>
            </w:r>
          </w:p>
        </w:tc>
      </w:tr>
      <w:tr>
        <w:tc>
          <w:tcPr>
            <w:tcW w:type="dxa" w:w="850"/>
            <w:vAlign w:val="center"/>
            <w:shd w:val="clear" w:color="auto" w:fill="EEF4FB"/>
          </w:tcPr>
          <w:p>
            <w:pPr>
              <w:jc w:val="center"/>
            </w:pPr>
            <w:r>
              <w:rPr>
                <w:rFonts w:ascii="Times New Roman" w:hAnsi="Times New Roman"/>
                <w:b w:val="0"/>
                <w:sz w:val="23"/>
              </w:rPr>
              <w:t>B1</w:t>
            </w:r>
          </w:p>
        </w:tc>
        <w:tc>
          <w:tcPr>
            <w:tcW w:type="dxa" w:w="3685"/>
            <w:vAlign w:val="center"/>
            <w:shd w:val="clear" w:color="auto" w:fill="EEF4FB"/>
          </w:tcPr>
          <w:p>
            <w:pPr>
              <w:jc w:val="center"/>
            </w:pPr>
            <w:r>
              <w:rPr>
                <w:rFonts w:ascii="Times New Roman" w:hAnsi="Times New Roman"/>
                <w:b w:val="0"/>
                <w:sz w:val="23"/>
              </w:rPr>
              <w:t>ROC: 5 biomarker + CRP + PCT — 3 endpoint (PSI nặng, tử vong, thở máy)</w:t>
            </w:r>
          </w:p>
        </w:tc>
        <w:tc>
          <w:tcPr>
            <w:tcW w:type="dxa" w:w="2268"/>
            <w:vAlign w:val="center"/>
            <w:shd w:val="clear" w:color="auto" w:fill="EEF4FB"/>
          </w:tcPr>
          <w:p>
            <w:pPr>
              <w:jc w:val="center"/>
            </w:pPr>
            <w:r>
              <w:rPr>
                <w:rFonts w:ascii="Times New Roman" w:hAnsi="Times New Roman"/>
                <w:b w:val="0"/>
                <w:sz w:val="23"/>
              </w:rPr>
              <w:t>Tất cả có sẵn</w:t>
            </w:r>
          </w:p>
        </w:tc>
        <w:tc>
          <w:tcPr>
            <w:tcW w:type="dxa" w:w="1417"/>
            <w:vAlign w:val="center"/>
            <w:shd w:val="clear" w:color="auto" w:fill="EEF4FB"/>
          </w:tcPr>
          <w:p>
            <w:pPr>
              <w:jc w:val="center"/>
            </w:pPr>
            <w:r>
              <w:rPr>
                <w:rFonts w:ascii="Times New Roman" w:hAnsi="Times New Roman"/>
                <w:b w:val="0"/>
                <w:sz w:val="23"/>
              </w:rPr>
              <w:t>⭐⭐⭐ Cao</w:t>
            </w:r>
          </w:p>
        </w:tc>
      </w:tr>
      <w:tr>
        <w:tc>
          <w:tcPr>
            <w:tcW w:type="dxa" w:w="850"/>
            <w:vAlign w:val="center"/>
            <w:shd w:val="clear" w:color="auto" w:fill="FFFFFF"/>
          </w:tcPr>
          <w:p>
            <w:pPr>
              <w:jc w:val="center"/>
            </w:pPr>
            <w:r>
              <w:rPr>
                <w:rFonts w:ascii="Times New Roman" w:hAnsi="Times New Roman"/>
                <w:b w:val="0"/>
                <w:sz w:val="23"/>
              </w:rPr>
              <w:t>B2</w:t>
            </w:r>
          </w:p>
        </w:tc>
        <w:tc>
          <w:tcPr>
            <w:tcW w:type="dxa" w:w="3685"/>
            <w:vAlign w:val="center"/>
            <w:shd w:val="clear" w:color="auto" w:fill="FFFFFF"/>
          </w:tcPr>
          <w:p>
            <w:pPr>
              <w:jc w:val="center"/>
            </w:pPr>
            <w:r>
              <w:rPr>
                <w:rFonts w:ascii="Times New Roman" w:hAnsi="Times New Roman"/>
                <w:b w:val="0"/>
                <w:sz w:val="23"/>
              </w:rPr>
              <w:t>Logistic đa biến: PSI + sTREM-1/TIMP-1/IL-17 dự đoán tử vong</w:t>
            </w:r>
          </w:p>
        </w:tc>
        <w:tc>
          <w:tcPr>
            <w:tcW w:type="dxa" w:w="2268"/>
            <w:vAlign w:val="center"/>
            <w:shd w:val="clear" w:color="auto" w:fill="FFFFFF"/>
          </w:tcPr>
          <w:p>
            <w:pPr>
              <w:jc w:val="center"/>
            </w:pPr>
            <w:r>
              <w:rPr>
                <w:rFonts w:ascii="Times New Roman" w:hAnsi="Times New Roman"/>
                <w:b w:val="0"/>
                <w:sz w:val="23"/>
              </w:rPr>
              <w:t>Tất cả có sẵn</w:t>
            </w:r>
          </w:p>
        </w:tc>
        <w:tc>
          <w:tcPr>
            <w:tcW w:type="dxa" w:w="1417"/>
            <w:vAlign w:val="center"/>
            <w:shd w:val="clear" w:color="auto" w:fill="FFFFFF"/>
          </w:tcPr>
          <w:p>
            <w:pPr>
              <w:jc w:val="center"/>
            </w:pPr>
            <w:r>
              <w:rPr>
                <w:rFonts w:ascii="Times New Roman" w:hAnsi="Times New Roman"/>
                <w:b w:val="0"/>
                <w:sz w:val="23"/>
              </w:rPr>
              <w:t>⭐⭐⭐ Cao</w:t>
            </w:r>
          </w:p>
        </w:tc>
      </w:tr>
      <w:tr>
        <w:tc>
          <w:tcPr>
            <w:tcW w:type="dxa" w:w="850"/>
            <w:vAlign w:val="center"/>
            <w:shd w:val="clear" w:color="auto" w:fill="EEF4FB"/>
          </w:tcPr>
          <w:p>
            <w:pPr>
              <w:jc w:val="center"/>
            </w:pPr>
            <w:r>
              <w:rPr>
                <w:rFonts w:ascii="Times New Roman" w:hAnsi="Times New Roman"/>
                <w:b w:val="0"/>
                <w:sz w:val="23"/>
              </w:rPr>
              <w:t>B3</w:t>
            </w:r>
          </w:p>
        </w:tc>
        <w:tc>
          <w:tcPr>
            <w:tcW w:type="dxa" w:w="3685"/>
            <w:vAlign w:val="center"/>
            <w:shd w:val="clear" w:color="auto" w:fill="EEF4FB"/>
          </w:tcPr>
          <w:p>
            <w:pPr>
              <w:jc w:val="center"/>
            </w:pPr>
            <w:r>
              <w:rPr>
                <w:rFonts w:ascii="Times New Roman" w:hAnsi="Times New Roman"/>
                <w:b w:val="0"/>
                <w:sz w:val="23"/>
              </w:rPr>
              <w:t>TIMP-1 stratified ROC: nữ vs nam — tử vong 30 ngày</w:t>
            </w:r>
          </w:p>
        </w:tc>
        <w:tc>
          <w:tcPr>
            <w:tcW w:type="dxa" w:w="2268"/>
            <w:vAlign w:val="center"/>
            <w:shd w:val="clear" w:color="auto" w:fill="EEF4FB"/>
          </w:tcPr>
          <w:p>
            <w:pPr>
              <w:jc w:val="center"/>
            </w:pPr>
            <w:r>
              <w:rPr>
                <w:rFonts w:ascii="Times New Roman" w:hAnsi="Times New Roman"/>
                <w:b w:val="0"/>
                <w:sz w:val="23"/>
              </w:rPr>
              <w:t>gioiTinh, TIMP-1, tuVong</w:t>
            </w:r>
          </w:p>
        </w:tc>
        <w:tc>
          <w:tcPr>
            <w:tcW w:type="dxa" w:w="1417"/>
            <w:vAlign w:val="center"/>
            <w:shd w:val="clear" w:color="auto" w:fill="EEF4FB"/>
          </w:tcPr>
          <w:p>
            <w:pPr>
              <w:jc w:val="center"/>
            </w:pPr>
            <w:r>
              <w:rPr>
                <w:rFonts w:ascii="Times New Roman" w:hAnsi="Times New Roman"/>
                <w:b/>
                <w:sz w:val="23"/>
              </w:rPr>
              <w:t>⭐⭐⭐ Cao nhất</w:t>
            </w:r>
          </w:p>
        </w:tc>
      </w:tr>
      <w:tr>
        <w:tc>
          <w:tcPr>
            <w:tcW w:type="dxa" w:w="850"/>
            <w:vAlign w:val="center"/>
            <w:shd w:val="clear" w:color="auto" w:fill="FFFFFF"/>
          </w:tcPr>
          <w:p>
            <w:pPr>
              <w:jc w:val="center"/>
            </w:pPr>
            <w:r>
              <w:rPr>
                <w:rFonts w:ascii="Times New Roman" w:hAnsi="Times New Roman"/>
                <w:b w:val="0"/>
                <w:sz w:val="23"/>
              </w:rPr>
              <w:t>B4</w:t>
            </w:r>
          </w:p>
        </w:tc>
        <w:tc>
          <w:tcPr>
            <w:tcW w:type="dxa" w:w="3685"/>
            <w:vAlign w:val="center"/>
            <w:shd w:val="clear" w:color="auto" w:fill="FFFFFF"/>
          </w:tcPr>
          <w:p>
            <w:pPr>
              <w:jc w:val="center"/>
            </w:pPr>
            <w:r>
              <w:rPr>
                <w:rFonts w:ascii="Times New Roman" w:hAnsi="Times New Roman"/>
                <w:b w:val="0"/>
                <w:sz w:val="23"/>
              </w:rPr>
              <w:t>Biomarker theo kháng sinh đồ: VK nhạy cảm vs MDR/XDR</w:t>
            </w:r>
          </w:p>
        </w:tc>
        <w:tc>
          <w:tcPr>
            <w:tcW w:type="dxa" w:w="2268"/>
            <w:vAlign w:val="center"/>
            <w:shd w:val="clear" w:color="auto" w:fill="FFFFFF"/>
          </w:tcPr>
          <w:p>
            <w:pPr>
              <w:jc w:val="center"/>
            </w:pPr>
            <w:r>
              <w:rPr>
                <w:rFonts w:ascii="Times New Roman" w:hAnsi="Times New Roman"/>
                <w:b w:val="0"/>
                <w:sz w:val="23"/>
              </w:rPr>
              <w:t>khangSinhDo[].mucDo</w:t>
            </w:r>
          </w:p>
        </w:tc>
        <w:tc>
          <w:tcPr>
            <w:tcW w:type="dxa" w:w="1417"/>
            <w:vAlign w:val="center"/>
            <w:shd w:val="clear" w:color="auto" w:fill="FFFFFF"/>
          </w:tcPr>
          <w:p>
            <w:pPr>
              <w:jc w:val="center"/>
            </w:pPr>
            <w:r>
              <w:rPr>
                <w:rFonts w:ascii="Times New Roman" w:hAnsi="Times New Roman"/>
                <w:b w:val="0"/>
                <w:sz w:val="23"/>
              </w:rPr>
              <w:t>⭐⭐⭐ Cao</w:t>
            </w:r>
          </w:p>
        </w:tc>
      </w:tr>
      <w:tr>
        <w:tc>
          <w:tcPr>
            <w:tcW w:type="dxa" w:w="850"/>
            <w:vAlign w:val="center"/>
            <w:shd w:val="clear" w:color="auto" w:fill="EEF4FB"/>
          </w:tcPr>
          <w:p>
            <w:pPr>
              <w:jc w:val="center"/>
            </w:pPr>
            <w:r>
              <w:rPr>
                <w:rFonts w:ascii="Times New Roman" w:hAnsi="Times New Roman"/>
                <w:b w:val="0"/>
                <w:sz w:val="23"/>
              </w:rPr>
              <w:t>C</w:t>
            </w:r>
          </w:p>
        </w:tc>
        <w:tc>
          <w:tcPr>
            <w:tcW w:type="dxa" w:w="3685"/>
            <w:vAlign w:val="center"/>
            <w:shd w:val="clear" w:color="auto" w:fill="EEF4FB"/>
          </w:tcPr>
          <w:p>
            <w:pPr>
              <w:jc w:val="center"/>
            </w:pPr>
            <w:r>
              <w:rPr>
                <w:rFonts w:ascii="Times New Roman" w:hAnsi="Times New Roman"/>
                <w:b w:val="0"/>
                <w:sz w:val="23"/>
              </w:rPr>
              <w:t>Spearman: biomarker vs thời gian khởi bệnh, NLR/CAR vs ngày ĐT</w:t>
            </w:r>
          </w:p>
        </w:tc>
        <w:tc>
          <w:tcPr>
            <w:tcW w:type="dxa" w:w="2268"/>
            <w:vAlign w:val="center"/>
            <w:shd w:val="clear" w:color="auto" w:fill="EEF4FB"/>
          </w:tcPr>
          <w:p>
            <w:pPr>
              <w:jc w:val="center"/>
            </w:pPr>
            <w:r>
              <w:rPr>
                <w:rFonts w:ascii="Times New Roman" w:hAnsi="Times New Roman"/>
                <w:b w:val="0"/>
                <w:sz w:val="23"/>
              </w:rPr>
              <w:t>Có sẵn</w:t>
            </w:r>
          </w:p>
        </w:tc>
        <w:tc>
          <w:tcPr>
            <w:tcW w:type="dxa" w:w="1417"/>
            <w:vAlign w:val="center"/>
            <w:shd w:val="clear" w:color="auto" w:fill="EEF4FB"/>
          </w:tcPr>
          <w:p>
            <w:pPr>
              <w:jc w:val="center"/>
            </w:pPr>
            <w:r>
              <w:rPr>
                <w:rFonts w:ascii="Times New Roman" w:hAnsi="Times New Roman"/>
                <w:b w:val="0"/>
                <w:sz w:val="23"/>
              </w:rPr>
              <w:t>⭐⭐ Trung bình</w:t>
            </w:r>
          </w:p>
        </w:tc>
      </w:tr>
    </w:tbl>
    <w:p>
      <w:pPr>
        <w:spacing w:before="200" w:after="80"/>
      </w:pPr>
      <w:r>
        <w:rPr>
          <w:rFonts w:ascii="Times New Roman" w:hAnsi="Times New Roman"/>
          <w:b/>
          <w:color w:val="1F497D"/>
          <w:sz w:val="26"/>
        </w:rPr>
        <w:t>CURB-65 — Tính từ biến số đã có trong app</w:t>
      </w:r>
    </w:p>
    <w:p>
      <w:pPr>
        <w:spacing w:before="80" w:after="120"/>
        <w:ind w:left="283" w:right="283"/>
        <w:pBdr>
          <w:top w:val="single" w:sz="12" w:space="4" w:color="1F497D"/>
          <w:left w:val="single" w:sz="12" w:space="4" w:color="1F497D"/>
          <w:bottom w:val="single" w:sz="12" w:space="4" w:color="1F497D"/>
          <w:right w:val="single" w:sz="12" w:space="4" w:color="1F497D"/>
        </w:pBdr>
      </w:pPr>
      <w:r>
        <w:rPr>
          <w:rFonts w:ascii="Times New Roman" w:hAnsi="Times New Roman"/>
          <w:color w:val="1F497D"/>
          <w:sz w:val="26"/>
        </w:rPr>
        <w:t>Tất cả 5 biến CURB-65 đã có: C = Glasgow (ý thức), U = Ure máu, R = Nhịp thở, B = Huyết áp tâm thu, 65 = Tuổi. Khuyến nghị: thêm cột "CURB65_score" vào ChiSoTinhToan hoặc tính trong analytics.</w:t>
      </w:r>
    </w:p>
    <w:p>
      <w:r>
        <w:br w:type="page"/>
      </w:r>
    </w:p>
    <w:p>
      <w:pPr>
        <w:spacing w:before="280" w:after="120"/>
      </w:pPr>
      <w:r>
        <w:rPr>
          <w:rFonts w:ascii="Times New Roman" w:hAnsi="Times New Roman"/>
          <w:b/>
          <w:color w:val="00467F"/>
          <w:sz w:val="28"/>
        </w:rPr>
        <w:t>VII. BIẾN SỐ MỚI CẦN THU THẬP</w:t>
      </w:r>
    </w:p>
    <w:p>
      <w:pPr>
        <w:spacing w:before="200" w:after="80"/>
      </w:pPr>
      <w:r>
        <w:rPr>
          <w:rFonts w:ascii="Times New Roman" w:hAnsi="Times New Roman"/>
          <w:b/>
          <w:color w:val="1F497D"/>
          <w:sz w:val="26"/>
        </w:rPr>
        <w:t>Ưu tiên 1 — Bắt buộc (đề tài toàn vẹn)</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1984"/>
            <w:vAlign w:val="center"/>
            <w:shd w:val="clear" w:color="auto" w:fill="1F497D"/>
          </w:tcPr>
          <w:p>
            <w:pPr>
              <w:jc w:val="center"/>
            </w:pPr>
            <w:r>
              <w:rPr>
                <w:rFonts w:ascii="Times New Roman" w:hAnsi="Times New Roman"/>
                <w:b/>
                <w:color w:val="FFFFFF"/>
                <w:sz w:val="24"/>
              </w:rPr>
              <w:t>Biến số</w:t>
            </w:r>
          </w:p>
        </w:tc>
        <w:tc>
          <w:tcPr>
            <w:tcW w:type="dxa" w:w="2551"/>
            <w:vAlign w:val="center"/>
            <w:shd w:val="clear" w:color="auto" w:fill="1F497D"/>
          </w:tcPr>
          <w:p>
            <w:pPr>
              <w:jc w:val="center"/>
            </w:pPr>
            <w:r>
              <w:rPr>
                <w:rFonts w:ascii="Times New Roman" w:hAnsi="Times New Roman"/>
                <w:b/>
                <w:color w:val="FFFFFF"/>
                <w:sz w:val="24"/>
              </w:rPr>
              <w:t>Lý do khoa học</w:t>
            </w:r>
          </w:p>
        </w:tc>
        <w:tc>
          <w:tcPr>
            <w:tcW w:type="dxa" w:w="1701"/>
            <w:vAlign w:val="center"/>
            <w:shd w:val="clear" w:color="auto" w:fill="1F497D"/>
          </w:tcPr>
          <w:p>
            <w:pPr>
              <w:jc w:val="center"/>
            </w:pPr>
            <w:r>
              <w:rPr>
                <w:rFonts w:ascii="Times New Roman" w:hAnsi="Times New Roman"/>
                <w:b/>
                <w:color w:val="FFFFFF"/>
                <w:sz w:val="24"/>
              </w:rPr>
              <w:t>Bằng chứng</w:t>
            </w:r>
          </w:p>
        </w:tc>
        <w:tc>
          <w:tcPr>
            <w:tcW w:type="dxa" w:w="1984"/>
            <w:vAlign w:val="center"/>
            <w:shd w:val="clear" w:color="auto" w:fill="1F497D"/>
          </w:tcPr>
          <w:p>
            <w:pPr>
              <w:jc w:val="center"/>
            </w:pPr>
            <w:r>
              <w:rPr>
                <w:rFonts w:ascii="Times New Roman" w:hAnsi="Times New Roman"/>
                <w:b/>
                <w:color w:val="FFFFFF"/>
                <w:sz w:val="24"/>
              </w:rPr>
              <w:t>Cách thêm vào app</w:t>
            </w:r>
          </w:p>
        </w:tc>
      </w:tr>
      <w:tr>
        <w:tc>
          <w:tcPr>
            <w:tcW w:type="dxa" w:w="1984"/>
            <w:vAlign w:val="center"/>
            <w:shd w:val="clear" w:color="auto" w:fill="EEF4FB"/>
          </w:tcPr>
          <w:p>
            <w:pPr>
              <w:jc w:val="center"/>
            </w:pPr>
            <w:r>
              <w:rPr>
                <w:rFonts w:ascii="Times New Roman" w:hAnsi="Times New Roman"/>
                <w:b w:val="0"/>
                <w:sz w:val="23"/>
              </w:rPr>
              <w:t>Kết quả PCR đa mồi</w:t>
            </w:r>
          </w:p>
        </w:tc>
        <w:tc>
          <w:tcPr>
            <w:tcW w:type="dxa" w:w="2551"/>
            <w:vAlign w:val="center"/>
            <w:shd w:val="clear" w:color="auto" w:fill="EEF4FB"/>
          </w:tcPr>
          <w:p>
            <w:pPr>
              <w:jc w:val="center"/>
            </w:pPr>
            <w:r>
              <w:rPr>
                <w:rFonts w:ascii="Times New Roman" w:hAnsi="Times New Roman"/>
                <w:b w:val="0"/>
                <w:sz w:val="23"/>
              </w:rPr>
              <w:t>Tiêu chuẩn chọn mẫu; cần Bảng A2-A3; pattern cytokine theo tác nhân</w:t>
            </w:r>
          </w:p>
        </w:tc>
        <w:tc>
          <w:tcPr>
            <w:tcW w:type="dxa" w:w="1701"/>
            <w:vAlign w:val="center"/>
            <w:shd w:val="clear" w:color="auto" w:fill="EEF4FB"/>
          </w:tcPr>
          <w:p>
            <w:pPr>
              <w:jc w:val="center"/>
            </w:pPr>
            <w:r>
              <w:rPr>
                <w:rFonts w:ascii="Times New Roman" w:hAnsi="Times New Roman"/>
                <w:b w:val="0"/>
                <w:sz w:val="23"/>
              </w:rPr>
              <w:t>Menéndez 2012 [11]; Cartuliares 2023 RCT [43]</w:t>
            </w:r>
          </w:p>
        </w:tc>
        <w:tc>
          <w:tcPr>
            <w:tcW w:type="dxa" w:w="1984"/>
            <w:vAlign w:val="center"/>
            <w:shd w:val="clear" w:color="auto" w:fill="EEF4FB"/>
          </w:tcPr>
          <w:p>
            <w:pPr>
              <w:jc w:val="center"/>
            </w:pPr>
            <w:r>
              <w:rPr>
                <w:rFonts w:ascii="Times New Roman" w:hAnsi="Times New Roman"/>
                <w:b w:val="0"/>
                <w:sz w:val="23"/>
              </w:rPr>
              <w:t>Multi-select + auto-classify điển hình/KĐH/virus</w:t>
            </w:r>
          </w:p>
        </w:tc>
      </w:tr>
      <w:tr>
        <w:tc>
          <w:tcPr>
            <w:tcW w:type="dxa" w:w="1984"/>
            <w:vAlign w:val="center"/>
            <w:shd w:val="clear" w:color="auto" w:fill="FFFFFF"/>
          </w:tcPr>
          <w:p>
            <w:pPr>
              <w:jc w:val="center"/>
            </w:pPr>
            <w:r>
              <w:rPr>
                <w:rFonts w:ascii="Times New Roman" w:hAnsi="Times New Roman"/>
                <w:b w:val="0"/>
                <w:sz w:val="23"/>
              </w:rPr>
              <w:t>FiO₂ lúc NV (%)</w:t>
            </w:r>
          </w:p>
        </w:tc>
        <w:tc>
          <w:tcPr>
            <w:tcW w:type="dxa" w:w="2551"/>
            <w:vAlign w:val="center"/>
            <w:shd w:val="clear" w:color="auto" w:fill="FFFFFF"/>
          </w:tcPr>
          <w:p>
            <w:pPr>
              <w:jc w:val="center"/>
            </w:pPr>
            <w:r>
              <w:rPr>
                <w:rFonts w:ascii="Times New Roman" w:hAnsi="Times New Roman"/>
                <w:b w:val="0"/>
                <w:sz w:val="23"/>
              </w:rPr>
              <w:t>Tính PaO₂/FiO₂ ratio — chuẩn ATS phân độ suy hô hấp</w:t>
            </w:r>
          </w:p>
        </w:tc>
        <w:tc>
          <w:tcPr>
            <w:tcW w:type="dxa" w:w="1701"/>
            <w:vAlign w:val="center"/>
            <w:shd w:val="clear" w:color="auto" w:fill="FFFFFF"/>
          </w:tcPr>
          <w:p>
            <w:pPr>
              <w:jc w:val="center"/>
            </w:pPr>
            <w:r>
              <w:rPr>
                <w:rFonts w:ascii="Times New Roman" w:hAnsi="Times New Roman"/>
                <w:b w:val="0"/>
                <w:sz w:val="23"/>
              </w:rPr>
              <w:t>ATS guidelines</w:t>
            </w:r>
          </w:p>
        </w:tc>
        <w:tc>
          <w:tcPr>
            <w:tcW w:type="dxa" w:w="1984"/>
            <w:vAlign w:val="center"/>
            <w:shd w:val="clear" w:color="auto" w:fill="FFFFFF"/>
          </w:tcPr>
          <w:p>
            <w:pPr>
              <w:jc w:val="center"/>
            </w:pPr>
            <w:r>
              <w:rPr>
                <w:rFonts w:ascii="Times New Roman" w:hAnsi="Times New Roman"/>
                <w:b w:val="0"/>
                <w:sz w:val="23"/>
              </w:rPr>
              <w:t>Field số, default 21% (thở khí trời)</w:t>
            </w:r>
          </w:p>
        </w:tc>
      </w:tr>
      <w:tr>
        <w:tc>
          <w:tcPr>
            <w:tcW w:type="dxa" w:w="1984"/>
            <w:vAlign w:val="center"/>
            <w:shd w:val="clear" w:color="auto" w:fill="EEF4FB"/>
          </w:tcPr>
          <w:p>
            <w:pPr>
              <w:jc w:val="center"/>
            </w:pPr>
            <w:r>
              <w:rPr>
                <w:rFonts w:ascii="Times New Roman" w:hAnsi="Times New Roman"/>
                <w:b w:val="0"/>
                <w:sz w:val="23"/>
              </w:rPr>
              <w:t>Nguồn bệnh phẩm vi sinh</w:t>
            </w:r>
          </w:p>
        </w:tc>
        <w:tc>
          <w:tcPr>
            <w:tcW w:type="dxa" w:w="2551"/>
            <w:vAlign w:val="center"/>
            <w:shd w:val="clear" w:color="auto" w:fill="EEF4FB"/>
          </w:tcPr>
          <w:p>
            <w:pPr>
              <w:jc w:val="center"/>
            </w:pPr>
            <w:r>
              <w:rPr>
                <w:rFonts w:ascii="Times New Roman" w:hAnsi="Times New Roman"/>
                <w:b w:val="0"/>
                <w:sz w:val="23"/>
              </w:rPr>
              <w:t>Đờm / DRP / Máu / Ngoáy tị hầu → ảnh hưởng tỷ lệ dương</w:t>
            </w:r>
          </w:p>
        </w:tc>
        <w:tc>
          <w:tcPr>
            <w:tcW w:type="dxa" w:w="1701"/>
            <w:vAlign w:val="center"/>
            <w:shd w:val="clear" w:color="auto" w:fill="EEF4FB"/>
          </w:tcPr>
          <w:p>
            <w:pPr>
              <w:jc w:val="center"/>
            </w:pPr>
            <w:r>
              <w:rPr>
                <w:rFonts w:ascii="Times New Roman" w:hAnsi="Times New Roman"/>
                <w:b w:val="0"/>
                <w:sz w:val="23"/>
              </w:rPr>
              <w:t>Rothe 2021 [44]</w:t>
            </w:r>
          </w:p>
        </w:tc>
        <w:tc>
          <w:tcPr>
            <w:tcW w:type="dxa" w:w="1984"/>
            <w:vAlign w:val="center"/>
            <w:shd w:val="clear" w:color="auto" w:fill="EEF4FB"/>
          </w:tcPr>
          <w:p>
            <w:pPr>
              <w:jc w:val="center"/>
            </w:pPr>
            <w:r>
              <w:rPr>
                <w:rFonts w:ascii="Times New Roman" w:hAnsi="Times New Roman"/>
                <w:b w:val="0"/>
                <w:sz w:val="23"/>
              </w:rPr>
              <w:t>Dropdown 4 lựa chọn</w:t>
            </w:r>
          </w:p>
        </w:tc>
      </w:tr>
    </w:tbl>
    <w:p>
      <w:pPr>
        <w:spacing w:before="200" w:after="80"/>
      </w:pPr>
      <w:r>
        <w:rPr>
          <w:rFonts w:ascii="Times New Roman" w:hAnsi="Times New Roman"/>
          <w:b/>
          <w:color w:val="1F497D"/>
          <w:sz w:val="26"/>
        </w:rPr>
        <w:t>Ưu tiên 2 — Mở rộng phân tích</w:t>
      </w:r>
    </w:p>
    <w:tbl>
      <w:tblPr>
        <w:tblStyle w:val="TableGrid"/>
        <w:tblW w:type="auto" w:w="0"/>
        <w:jc w:val="center"/>
        <w:tblLook w:firstColumn="1" w:firstRow="1" w:lastColumn="0" w:lastRow="0" w:noHBand="0" w:noVBand="1" w:val="04A0"/>
      </w:tblPr>
      <w:tblGrid>
        <w:gridCol w:w="3024"/>
        <w:gridCol w:w="3024"/>
        <w:gridCol w:w="3024"/>
      </w:tblGrid>
      <w:tr>
        <w:trPr>
          <w:trHeight w:val="510"/>
        </w:trPr>
        <w:tc>
          <w:tcPr>
            <w:tcW w:type="dxa" w:w="2551"/>
            <w:vAlign w:val="center"/>
            <w:shd w:val="clear" w:color="auto" w:fill="1F497D"/>
          </w:tcPr>
          <w:p>
            <w:pPr>
              <w:jc w:val="center"/>
            </w:pPr>
            <w:r>
              <w:rPr>
                <w:rFonts w:ascii="Times New Roman" w:hAnsi="Times New Roman"/>
                <w:b/>
                <w:color w:val="FFFFFF"/>
                <w:sz w:val="24"/>
              </w:rPr>
              <w:t>Biến số</w:t>
            </w:r>
          </w:p>
        </w:tc>
        <w:tc>
          <w:tcPr>
            <w:tcW w:type="dxa" w:w="2551"/>
            <w:vAlign w:val="center"/>
            <w:shd w:val="clear" w:color="auto" w:fill="1F497D"/>
          </w:tcPr>
          <w:p>
            <w:pPr>
              <w:jc w:val="center"/>
            </w:pPr>
            <w:r>
              <w:rPr>
                <w:rFonts w:ascii="Times New Roman" w:hAnsi="Times New Roman"/>
                <w:b/>
                <w:color w:val="FFFFFF"/>
                <w:sz w:val="24"/>
              </w:rPr>
              <w:t>Phân tích được phép</w:t>
            </w:r>
          </w:p>
        </w:tc>
        <w:tc>
          <w:tcPr>
            <w:tcW w:type="dxa" w:w="3118"/>
            <w:vAlign w:val="center"/>
            <w:shd w:val="clear" w:color="auto" w:fill="1F497D"/>
          </w:tcPr>
          <w:p>
            <w:pPr>
              <w:jc w:val="center"/>
            </w:pPr>
            <w:r>
              <w:rPr>
                <w:rFonts w:ascii="Times New Roman" w:hAnsi="Times New Roman"/>
                <w:b/>
                <w:color w:val="FFFFFF"/>
                <w:sz w:val="24"/>
              </w:rPr>
              <w:t>Giá trị khoa học</w:t>
            </w:r>
          </w:p>
        </w:tc>
      </w:tr>
      <w:tr>
        <w:tc>
          <w:tcPr>
            <w:tcW w:type="dxa" w:w="2551"/>
            <w:vAlign w:val="center"/>
            <w:shd w:val="clear" w:color="auto" w:fill="EEF4FB"/>
          </w:tcPr>
          <w:p>
            <w:pPr>
              <w:jc w:val="center"/>
            </w:pPr>
            <w:r>
              <w:rPr>
                <w:rFonts w:ascii="Times New Roman" w:hAnsi="Times New Roman"/>
                <w:b w:val="0"/>
                <w:sz w:val="23"/>
              </w:rPr>
              <w:t>Loại oxy hỗ trợ (thở khí trời / kính mũi / HFNC / NIPPV / thở máy)</w:t>
            </w:r>
          </w:p>
        </w:tc>
        <w:tc>
          <w:tcPr>
            <w:tcW w:type="dxa" w:w="2551"/>
            <w:vAlign w:val="center"/>
            <w:shd w:val="clear" w:color="auto" w:fill="EEF4FB"/>
          </w:tcPr>
          <w:p>
            <w:pPr>
              <w:jc w:val="center"/>
            </w:pPr>
            <w:r>
              <w:rPr>
                <w:rFonts w:ascii="Times New Roman" w:hAnsi="Times New Roman"/>
                <w:b w:val="0"/>
                <w:sz w:val="23"/>
              </w:rPr>
              <w:t>Phân độ suy hô hấp; tương quan biomarker</w:t>
            </w:r>
          </w:p>
        </w:tc>
        <w:tc>
          <w:tcPr>
            <w:tcW w:type="dxa" w:w="3118"/>
            <w:vAlign w:val="center"/>
            <w:shd w:val="clear" w:color="auto" w:fill="EEF4FB"/>
          </w:tcPr>
          <w:p>
            <w:pPr>
              <w:jc w:val="center"/>
            </w:pPr>
            <w:r>
              <w:rPr>
                <w:rFonts w:ascii="Times New Roman" w:hAnsi="Times New Roman"/>
                <w:b w:val="0"/>
                <w:sz w:val="23"/>
              </w:rPr>
              <w:t>Chưa có dữ liệu kiểu này từ Việt Nam</w:t>
            </w:r>
          </w:p>
        </w:tc>
      </w:tr>
      <w:tr>
        <w:tc>
          <w:tcPr>
            <w:tcW w:type="dxa" w:w="2551"/>
            <w:vAlign w:val="center"/>
            <w:shd w:val="clear" w:color="auto" w:fill="FFFFFF"/>
          </w:tcPr>
          <w:p>
            <w:pPr>
              <w:jc w:val="center"/>
            </w:pPr>
            <w:r>
              <w:rPr>
                <w:rFonts w:ascii="Times New Roman" w:hAnsi="Times New Roman"/>
                <w:b w:val="0"/>
                <w:sz w:val="23"/>
              </w:rPr>
              <w:t>Thời điểm lấy mẫu biomarker (giờ thứ mấy sau NV)</w:t>
            </w:r>
          </w:p>
        </w:tc>
        <w:tc>
          <w:tcPr>
            <w:tcW w:type="dxa" w:w="2551"/>
            <w:vAlign w:val="center"/>
            <w:shd w:val="clear" w:color="auto" w:fill="FFFFFF"/>
          </w:tcPr>
          <w:p>
            <w:pPr>
              <w:jc w:val="center"/>
            </w:pPr>
            <w:r>
              <w:rPr>
                <w:rFonts w:ascii="Times New Roman" w:hAnsi="Times New Roman"/>
                <w:b w:val="0"/>
                <w:sz w:val="23"/>
              </w:rPr>
              <w:t>Chuẩn hóa so sánh; giảm measurement bias</w:t>
            </w:r>
          </w:p>
        </w:tc>
        <w:tc>
          <w:tcPr>
            <w:tcW w:type="dxa" w:w="3118"/>
            <w:vAlign w:val="center"/>
            <w:shd w:val="clear" w:color="auto" w:fill="FFFFFF"/>
          </w:tcPr>
          <w:p>
            <w:pPr>
              <w:jc w:val="center"/>
            </w:pPr>
            <w:r>
              <w:rPr>
                <w:rFonts w:ascii="Times New Roman" w:hAnsi="Times New Roman"/>
                <w:b w:val="0"/>
                <w:sz w:val="23"/>
              </w:rPr>
              <w:t>Kiểm soát sai số đo lường</w:t>
            </w:r>
          </w:p>
        </w:tc>
      </w:tr>
    </w:tbl>
    <w:p>
      <w:pPr>
        <w:spacing w:before="200" w:after="80"/>
      </w:pPr>
      <w:r>
        <w:rPr>
          <w:rFonts w:ascii="Times New Roman" w:hAnsi="Times New Roman"/>
          <w:b/>
          <w:color w:val="1F497D"/>
          <w:sz w:val="26"/>
        </w:rPr>
        <w:t>Ưu tiên 3 — Phân tích dọc (cao nhất về giá trị khoa học)</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2268"/>
            <w:vAlign w:val="center"/>
            <w:shd w:val="clear" w:color="auto" w:fill="1F497D"/>
          </w:tcPr>
          <w:p>
            <w:pPr>
              <w:jc w:val="center"/>
            </w:pPr>
            <w:r>
              <w:rPr>
                <w:rFonts w:ascii="Times New Roman" w:hAnsi="Times New Roman"/>
                <w:b/>
                <w:color w:val="FFFFFF"/>
                <w:sz w:val="24"/>
              </w:rPr>
              <w:t>Biến số</w:t>
            </w:r>
          </w:p>
        </w:tc>
        <w:tc>
          <w:tcPr>
            <w:tcW w:type="dxa" w:w="1417"/>
            <w:vAlign w:val="center"/>
            <w:shd w:val="clear" w:color="auto" w:fill="1F497D"/>
          </w:tcPr>
          <w:p>
            <w:pPr>
              <w:jc w:val="center"/>
            </w:pPr>
            <w:r>
              <w:rPr>
                <w:rFonts w:ascii="Times New Roman" w:hAnsi="Times New Roman"/>
                <w:b/>
                <w:color w:val="FFFFFF"/>
                <w:sz w:val="24"/>
              </w:rPr>
              <w:t>Thời điểm</w:t>
            </w:r>
          </w:p>
        </w:tc>
        <w:tc>
          <w:tcPr>
            <w:tcW w:type="dxa" w:w="2551"/>
            <w:vAlign w:val="center"/>
            <w:shd w:val="clear" w:color="auto" w:fill="1F497D"/>
          </w:tcPr>
          <w:p>
            <w:pPr>
              <w:jc w:val="center"/>
            </w:pPr>
            <w:r>
              <w:rPr>
                <w:rFonts w:ascii="Times New Roman" w:hAnsi="Times New Roman"/>
                <w:b/>
                <w:color w:val="FFFFFF"/>
                <w:sz w:val="24"/>
              </w:rPr>
              <w:t>Phân tích</w:t>
            </w:r>
          </w:p>
        </w:tc>
        <w:tc>
          <w:tcPr>
            <w:tcW w:type="dxa" w:w="1984"/>
            <w:vAlign w:val="center"/>
            <w:shd w:val="clear" w:color="auto" w:fill="1F497D"/>
          </w:tcPr>
          <w:p>
            <w:pPr>
              <w:jc w:val="center"/>
            </w:pPr>
            <w:r>
              <w:rPr>
                <w:rFonts w:ascii="Times New Roman" w:hAnsi="Times New Roman"/>
                <w:b/>
                <w:color w:val="FFFFFF"/>
                <w:sz w:val="24"/>
              </w:rPr>
              <w:t>Bằng chứng nền</w:t>
            </w:r>
          </w:p>
        </w:tc>
      </w:tr>
      <w:tr>
        <w:tc>
          <w:tcPr>
            <w:tcW w:type="dxa" w:w="2268"/>
            <w:vAlign w:val="center"/>
            <w:shd w:val="clear" w:color="auto" w:fill="EEF4FB"/>
          </w:tcPr>
          <w:p>
            <w:pPr>
              <w:jc w:val="center"/>
            </w:pPr>
            <w:r>
              <w:rPr>
                <w:rFonts w:ascii="Times New Roman" w:hAnsi="Times New Roman"/>
                <w:b w:val="0"/>
                <w:sz w:val="23"/>
              </w:rPr>
              <w:t>Biomarker lần 2 (sTREM-1, IL-6, TIMP-1)</w:t>
            </w:r>
          </w:p>
        </w:tc>
        <w:tc>
          <w:tcPr>
            <w:tcW w:type="dxa" w:w="1417"/>
            <w:vAlign w:val="center"/>
            <w:shd w:val="clear" w:color="auto" w:fill="EEF4FB"/>
          </w:tcPr>
          <w:p>
            <w:pPr>
              <w:jc w:val="center"/>
            </w:pPr>
            <w:r>
              <w:rPr>
                <w:rFonts w:ascii="Times New Roman" w:hAnsi="Times New Roman"/>
                <w:b w:val="0"/>
                <w:sz w:val="23"/>
              </w:rPr>
              <w:t>Ngày 3–5 điều trị</w:t>
            </w:r>
          </w:p>
        </w:tc>
        <w:tc>
          <w:tcPr>
            <w:tcW w:type="dxa" w:w="2551"/>
            <w:vAlign w:val="center"/>
            <w:shd w:val="clear" w:color="auto" w:fill="EEF4FB"/>
          </w:tcPr>
          <w:p>
            <w:pPr>
              <w:jc w:val="center"/>
            </w:pPr>
            <w:r>
              <w:rPr>
                <w:rFonts w:ascii="Times New Roman" w:hAnsi="Times New Roman"/>
                <w:b w:val="0"/>
                <w:sz w:val="23"/>
              </w:rPr>
              <w:t>Δ biomarker → tiên lượng đáp ứng điều trị</w:t>
            </w:r>
          </w:p>
        </w:tc>
        <w:tc>
          <w:tcPr>
            <w:tcW w:type="dxa" w:w="1984"/>
            <w:vAlign w:val="center"/>
            <w:shd w:val="clear" w:color="auto" w:fill="EEF4FB"/>
          </w:tcPr>
          <w:p>
            <w:pPr>
              <w:jc w:val="center"/>
            </w:pPr>
            <w:r>
              <w:rPr>
                <w:rFonts w:ascii="Times New Roman" w:hAnsi="Times New Roman"/>
                <w:b w:val="0"/>
                <w:sz w:val="23"/>
              </w:rPr>
              <w:t>Dao 2023: IL-6 giảm sau 7 ngày [12]</w:t>
            </w:r>
          </w:p>
        </w:tc>
      </w:tr>
      <w:tr>
        <w:tc>
          <w:tcPr>
            <w:tcW w:type="dxa" w:w="2268"/>
            <w:vAlign w:val="center"/>
            <w:shd w:val="clear" w:color="auto" w:fill="FFFFFF"/>
          </w:tcPr>
          <w:p>
            <w:pPr>
              <w:jc w:val="center"/>
            </w:pPr>
            <w:r>
              <w:rPr>
                <w:rFonts w:ascii="Times New Roman" w:hAnsi="Times New Roman"/>
                <w:b w:val="0"/>
                <w:sz w:val="23"/>
              </w:rPr>
              <w:t>Biomarker lần 3 (tùy chọn)</w:t>
            </w:r>
          </w:p>
        </w:tc>
        <w:tc>
          <w:tcPr>
            <w:tcW w:type="dxa" w:w="1417"/>
            <w:vAlign w:val="center"/>
            <w:shd w:val="clear" w:color="auto" w:fill="FFFFFF"/>
          </w:tcPr>
          <w:p>
            <w:pPr>
              <w:jc w:val="center"/>
            </w:pPr>
            <w:r>
              <w:rPr>
                <w:rFonts w:ascii="Times New Roman" w:hAnsi="Times New Roman"/>
                <w:b w:val="0"/>
                <w:sz w:val="23"/>
              </w:rPr>
              <w:t>Khi ra viện / ngày 14</w:t>
            </w:r>
          </w:p>
        </w:tc>
        <w:tc>
          <w:tcPr>
            <w:tcW w:type="dxa" w:w="2551"/>
            <w:vAlign w:val="center"/>
            <w:shd w:val="clear" w:color="auto" w:fill="FFFFFF"/>
          </w:tcPr>
          <w:p>
            <w:pPr>
              <w:jc w:val="center"/>
            </w:pPr>
            <w:r>
              <w:rPr>
                <w:rFonts w:ascii="Times New Roman" w:hAnsi="Times New Roman"/>
                <w:b w:val="0"/>
                <w:sz w:val="23"/>
              </w:rPr>
              <w:t>Kinetics biomarker; ai vẫn cao?</w:t>
            </w:r>
          </w:p>
        </w:tc>
        <w:tc>
          <w:tcPr>
            <w:tcW w:type="dxa" w:w="1984"/>
            <w:vAlign w:val="center"/>
            <w:shd w:val="clear" w:color="auto" w:fill="FFFFFF"/>
          </w:tcPr>
          <w:p>
            <w:pPr>
              <w:jc w:val="center"/>
            </w:pPr>
            <w:r>
              <w:rPr>
                <w:rFonts w:ascii="Times New Roman" w:hAnsi="Times New Roman"/>
                <w:b w:val="0"/>
                <w:sz w:val="23"/>
              </w:rPr>
              <w:t>Cơ sở bài báo độc lập về kinetics</w:t>
            </w:r>
          </w:p>
        </w:tc>
      </w:tr>
    </w:tbl>
    <w:p>
      <w:r>
        <w:br w:type="page"/>
      </w:r>
    </w:p>
    <w:p>
      <w:pPr>
        <w:spacing w:before="280" w:after="120"/>
      </w:pPr>
      <w:r>
        <w:rPr>
          <w:rFonts w:ascii="Times New Roman" w:hAnsi="Times New Roman"/>
          <w:b/>
          <w:color w:val="00467F"/>
          <w:sz w:val="28"/>
        </w:rPr>
        <w:t>VIII. BẢN ĐỒ TRIỂN KHAI</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1417"/>
            <w:vAlign w:val="center"/>
            <w:shd w:val="clear" w:color="auto" w:fill="1F497D"/>
          </w:tcPr>
          <w:p>
            <w:pPr>
              <w:jc w:val="center"/>
            </w:pPr>
            <w:r>
              <w:rPr>
                <w:rFonts w:ascii="Times New Roman" w:hAnsi="Times New Roman"/>
                <w:b/>
                <w:color w:val="FFFFFF"/>
                <w:sz w:val="24"/>
              </w:rPr>
              <w:t>Giai đoạn</w:t>
            </w:r>
          </w:p>
        </w:tc>
        <w:tc>
          <w:tcPr>
            <w:tcW w:type="dxa" w:w="3118"/>
            <w:vAlign w:val="center"/>
            <w:shd w:val="clear" w:color="auto" w:fill="1F497D"/>
          </w:tcPr>
          <w:p>
            <w:pPr>
              <w:jc w:val="center"/>
            </w:pPr>
            <w:r>
              <w:rPr>
                <w:rFonts w:ascii="Times New Roman" w:hAnsi="Times New Roman"/>
                <w:b/>
                <w:color w:val="FFFFFF"/>
                <w:sz w:val="24"/>
              </w:rPr>
              <w:t>Nội dung</w:t>
            </w:r>
          </w:p>
        </w:tc>
        <w:tc>
          <w:tcPr>
            <w:tcW w:type="dxa" w:w="1984"/>
            <w:vAlign w:val="center"/>
            <w:shd w:val="clear" w:color="auto" w:fill="1F497D"/>
          </w:tcPr>
          <w:p>
            <w:pPr>
              <w:jc w:val="center"/>
            </w:pPr>
            <w:r>
              <w:rPr>
                <w:rFonts w:ascii="Times New Roman" w:hAnsi="Times New Roman"/>
                <w:b/>
                <w:color w:val="FFFFFF"/>
                <w:sz w:val="24"/>
              </w:rPr>
              <w:t>Điều kiện</w:t>
            </w:r>
          </w:p>
        </w:tc>
        <w:tc>
          <w:tcPr>
            <w:tcW w:type="dxa" w:w="1701"/>
            <w:vAlign w:val="center"/>
            <w:shd w:val="clear" w:color="auto" w:fill="1F497D"/>
          </w:tcPr>
          <w:p>
            <w:pPr>
              <w:jc w:val="center"/>
            </w:pPr>
            <w:r>
              <w:rPr>
                <w:rFonts w:ascii="Times New Roman" w:hAnsi="Times New Roman"/>
                <w:b/>
                <w:color w:val="FFFFFF"/>
                <w:sz w:val="24"/>
              </w:rPr>
              <w:t>Độ ưu tiên</w:t>
            </w:r>
          </w:p>
        </w:tc>
      </w:tr>
      <w:tr>
        <w:tc>
          <w:tcPr>
            <w:tcW w:type="dxa" w:w="1417"/>
            <w:vAlign w:val="center"/>
            <w:shd w:val="clear" w:color="auto" w:fill="EEF4FB"/>
          </w:tcPr>
          <w:p>
            <w:pPr>
              <w:jc w:val="center"/>
            </w:pPr>
            <w:r>
              <w:rPr>
                <w:rFonts w:ascii="Times New Roman" w:hAnsi="Times New Roman"/>
                <w:b w:val="0"/>
                <w:sz w:val="23"/>
              </w:rPr>
              <w:t>GĐ 1 (Ngay)</w:t>
            </w:r>
          </w:p>
        </w:tc>
        <w:tc>
          <w:tcPr>
            <w:tcW w:type="dxa" w:w="3118"/>
            <w:vAlign w:val="center"/>
            <w:shd w:val="clear" w:color="auto" w:fill="EEF4FB"/>
          </w:tcPr>
          <w:p>
            <w:pPr>
              <w:jc w:val="center"/>
            </w:pPr>
            <w:r>
              <w:rPr>
                <w:rFonts w:ascii="Times New Roman" w:hAnsi="Times New Roman"/>
                <w:b w:val="0"/>
                <w:sz w:val="23"/>
              </w:rPr>
              <w:t>Thêm module PCR vào app</w:t>
            </w:r>
          </w:p>
        </w:tc>
        <w:tc>
          <w:tcPr>
            <w:tcW w:type="dxa" w:w="1984"/>
            <w:vAlign w:val="center"/>
            <w:shd w:val="clear" w:color="auto" w:fill="EEF4FB"/>
          </w:tcPr>
          <w:p>
            <w:pPr>
              <w:jc w:val="center"/>
            </w:pPr>
            <w:r>
              <w:rPr>
                <w:rFonts w:ascii="Times New Roman" w:hAnsi="Times New Roman"/>
                <w:b w:val="0"/>
                <w:sz w:val="23"/>
              </w:rPr>
              <w:t>Cần trước khi thu thập BN</w:t>
            </w:r>
          </w:p>
        </w:tc>
        <w:tc>
          <w:tcPr>
            <w:tcW w:type="dxa" w:w="1701"/>
            <w:vAlign w:val="center"/>
            <w:shd w:val="clear" w:color="auto" w:fill="EEF4FB"/>
          </w:tcPr>
          <w:p>
            <w:pPr>
              <w:jc w:val="center"/>
            </w:pPr>
            <w:r>
              <w:rPr>
                <w:rFonts w:ascii="Times New Roman" w:hAnsi="Times New Roman"/>
                <w:b w:val="0"/>
                <w:sz w:val="23"/>
              </w:rPr>
              <w:t>🔴 Khẩn</w:t>
            </w:r>
          </w:p>
        </w:tc>
      </w:tr>
      <w:tr>
        <w:tc>
          <w:tcPr>
            <w:tcW w:type="dxa" w:w="1417"/>
            <w:vAlign w:val="center"/>
            <w:shd w:val="clear" w:color="auto" w:fill="FFFFFF"/>
          </w:tcPr>
          <w:p>
            <w:pPr>
              <w:jc w:val="center"/>
            </w:pPr>
            <w:r>
              <w:rPr>
                <w:rFonts w:ascii="Times New Roman" w:hAnsi="Times New Roman"/>
                <w:b w:val="0"/>
                <w:sz w:val="23"/>
              </w:rPr>
              <w:t>GĐ 2 (Thu thập)</w:t>
            </w:r>
          </w:p>
        </w:tc>
        <w:tc>
          <w:tcPr>
            <w:tcW w:type="dxa" w:w="3118"/>
            <w:vAlign w:val="center"/>
            <w:shd w:val="clear" w:color="auto" w:fill="FFFFFF"/>
          </w:tcPr>
          <w:p>
            <w:pPr>
              <w:jc w:val="center"/>
            </w:pPr>
            <w:r>
              <w:rPr>
                <w:rFonts w:ascii="Times New Roman" w:hAnsi="Times New Roman"/>
                <w:b w:val="0"/>
                <w:sz w:val="23"/>
              </w:rPr>
              <w:t>Biomarker ngày 1, kháng sinh đồ, PCR, FiO₂</w:t>
            </w:r>
          </w:p>
        </w:tc>
        <w:tc>
          <w:tcPr>
            <w:tcW w:type="dxa" w:w="1984"/>
            <w:vAlign w:val="center"/>
            <w:shd w:val="clear" w:color="auto" w:fill="FFFFFF"/>
          </w:tcPr>
          <w:p>
            <w:pPr>
              <w:jc w:val="center"/>
            </w:pPr>
            <w:r>
              <w:rPr>
                <w:rFonts w:ascii="Times New Roman" w:hAnsi="Times New Roman"/>
                <w:b w:val="0"/>
                <w:sz w:val="23"/>
              </w:rPr>
              <w:t>n ≥ 119 BN</w:t>
            </w:r>
          </w:p>
        </w:tc>
        <w:tc>
          <w:tcPr>
            <w:tcW w:type="dxa" w:w="1701"/>
            <w:vAlign w:val="center"/>
            <w:shd w:val="clear" w:color="auto" w:fill="FFFFFF"/>
          </w:tcPr>
          <w:p>
            <w:pPr>
              <w:jc w:val="center"/>
            </w:pPr>
            <w:r>
              <w:rPr>
                <w:rFonts w:ascii="Times New Roman" w:hAnsi="Times New Roman"/>
                <w:b w:val="0"/>
                <w:sz w:val="23"/>
              </w:rPr>
              <w:t>🟡 Cao</w:t>
            </w:r>
          </w:p>
        </w:tc>
      </w:tr>
      <w:tr>
        <w:tc>
          <w:tcPr>
            <w:tcW w:type="dxa" w:w="1417"/>
            <w:vAlign w:val="center"/>
            <w:shd w:val="clear" w:color="auto" w:fill="EEF4FB"/>
          </w:tcPr>
          <w:p>
            <w:pPr>
              <w:jc w:val="center"/>
            </w:pPr>
            <w:r>
              <w:rPr>
                <w:rFonts w:ascii="Times New Roman" w:hAnsi="Times New Roman"/>
                <w:b w:val="0"/>
                <w:sz w:val="23"/>
              </w:rPr>
              <w:t>GĐ 3 (Phân tích)</w:t>
            </w:r>
          </w:p>
        </w:tc>
        <w:tc>
          <w:tcPr>
            <w:tcW w:type="dxa" w:w="3118"/>
            <w:vAlign w:val="center"/>
            <w:shd w:val="clear" w:color="auto" w:fill="EEF4FB"/>
          </w:tcPr>
          <w:p>
            <w:pPr>
              <w:jc w:val="center"/>
            </w:pPr>
            <w:r>
              <w:rPr>
                <w:rFonts w:ascii="Times New Roman" w:hAnsi="Times New Roman"/>
                <w:b w:val="0"/>
                <w:sz w:val="23"/>
              </w:rPr>
              <w:t>ROC 5 biomarker; TIMP-1 sex-stratified; MDR vs non-MDR</w:t>
            </w:r>
          </w:p>
        </w:tc>
        <w:tc>
          <w:tcPr>
            <w:tcW w:type="dxa" w:w="1984"/>
            <w:vAlign w:val="center"/>
            <w:shd w:val="clear" w:color="auto" w:fill="EEF4FB"/>
          </w:tcPr>
          <w:p>
            <w:pPr>
              <w:jc w:val="center"/>
            </w:pPr>
            <w:r>
              <w:rPr>
                <w:rFonts w:ascii="Times New Roman" w:hAnsi="Times New Roman"/>
                <w:b w:val="0"/>
                <w:sz w:val="23"/>
              </w:rPr>
              <w:t>Sau khi đủ cỡ mẫu</w:t>
            </w:r>
          </w:p>
        </w:tc>
        <w:tc>
          <w:tcPr>
            <w:tcW w:type="dxa" w:w="1701"/>
            <w:vAlign w:val="center"/>
            <w:shd w:val="clear" w:color="auto" w:fill="EEF4FB"/>
          </w:tcPr>
          <w:p>
            <w:pPr>
              <w:jc w:val="center"/>
            </w:pPr>
            <w:r>
              <w:rPr>
                <w:rFonts w:ascii="Times New Roman" w:hAnsi="Times New Roman"/>
                <w:b w:val="0"/>
                <w:sz w:val="23"/>
              </w:rPr>
              <w:t>🟢 Chuẩn bị</w:t>
            </w:r>
          </w:p>
        </w:tc>
      </w:tr>
      <w:tr>
        <w:tc>
          <w:tcPr>
            <w:tcW w:type="dxa" w:w="1417"/>
            <w:vAlign w:val="center"/>
            <w:shd w:val="clear" w:color="auto" w:fill="FFFFFF"/>
          </w:tcPr>
          <w:p>
            <w:pPr>
              <w:jc w:val="center"/>
            </w:pPr>
            <w:r>
              <w:rPr>
                <w:rFonts w:ascii="Times New Roman" w:hAnsi="Times New Roman"/>
                <w:b w:val="0"/>
                <w:sz w:val="23"/>
              </w:rPr>
              <w:t>GĐ 4 (Mở rộng)</w:t>
            </w:r>
          </w:p>
        </w:tc>
        <w:tc>
          <w:tcPr>
            <w:tcW w:type="dxa" w:w="3118"/>
            <w:vAlign w:val="center"/>
            <w:shd w:val="clear" w:color="auto" w:fill="FFFFFF"/>
          </w:tcPr>
          <w:p>
            <w:pPr>
              <w:jc w:val="center"/>
            </w:pPr>
            <w:r>
              <w:rPr>
                <w:rFonts w:ascii="Times New Roman" w:hAnsi="Times New Roman"/>
                <w:b w:val="0"/>
                <w:sz w:val="23"/>
              </w:rPr>
              <w:t>Biomarker lần 2 ngày 3–5; ML model nếu n ≥ 200</w:t>
            </w:r>
          </w:p>
        </w:tc>
        <w:tc>
          <w:tcPr>
            <w:tcW w:type="dxa" w:w="1984"/>
            <w:vAlign w:val="center"/>
            <w:shd w:val="clear" w:color="auto" w:fill="FFFFFF"/>
          </w:tcPr>
          <w:p>
            <w:pPr>
              <w:jc w:val="center"/>
            </w:pPr>
            <w:r>
              <w:rPr>
                <w:rFonts w:ascii="Times New Roman" w:hAnsi="Times New Roman"/>
                <w:b w:val="0"/>
                <w:sz w:val="23"/>
              </w:rPr>
              <w:t>Tùy nguồn lực</w:t>
            </w:r>
          </w:p>
        </w:tc>
        <w:tc>
          <w:tcPr>
            <w:tcW w:type="dxa" w:w="1701"/>
            <w:vAlign w:val="center"/>
            <w:shd w:val="clear" w:color="auto" w:fill="FFFFFF"/>
          </w:tcPr>
          <w:p>
            <w:pPr>
              <w:jc w:val="center"/>
            </w:pPr>
            <w:r>
              <w:rPr>
                <w:rFonts w:ascii="Times New Roman" w:hAnsi="Times New Roman"/>
                <w:b w:val="0"/>
                <w:sz w:val="23"/>
              </w:rPr>
              <w:t>🔵 Tùy chọn</w:t>
            </w:r>
          </w:p>
        </w:tc>
      </w:tr>
    </w:tbl>
    <w:p>
      <w:r>
        <w:br w:type="page"/>
      </w:r>
    </w:p>
    <w:p>
      <w:pPr>
        <w:spacing w:before="280" w:after="120"/>
      </w:pPr>
      <w:r>
        <w:rPr>
          <w:rFonts w:ascii="Times New Roman" w:hAnsi="Times New Roman"/>
          <w:b/>
          <w:color w:val="00467F"/>
          <w:sz w:val="28"/>
        </w:rPr>
        <w:t>IX. TÀI LIỆU THAM KHẢO</w:t>
      </w:r>
    </w:p>
    <w:p>
      <w:pPr>
        <w:spacing w:after="80"/>
      </w:pPr>
      <w:r>
        <w:rPr>
          <w:rFonts w:ascii="Times New Roman" w:hAnsi="Times New Roman"/>
          <w:b w:val="0"/>
          <w:i/>
          <w:sz w:val="24"/>
        </w:rPr>
        <w:t>Format: Vancouver. * = tài liệu bổ sung phiên 2 (2026-06-11)</w:t>
      </w:r>
    </w:p>
    <w:p>
      <w:pPr>
        <w:spacing w:after="60"/>
        <w:ind w:left="567" w:hanging="567"/>
      </w:pPr>
      <w:r>
        <w:rPr>
          <w:rFonts w:ascii="Times New Roman" w:hAnsi="Times New Roman"/>
          <w:sz w:val="24"/>
        </w:rPr>
        <w:t>1. Aladakatti R et al. Soluble triggering receptor expressed on myeloid cells-1 in ventilator-associated pneumonia. Respir Med. 2025.</w:t>
      </w:r>
    </w:p>
    <w:p>
      <w:pPr>
        <w:spacing w:after="60"/>
        <w:ind w:left="567" w:hanging="567"/>
      </w:pPr>
      <w:r>
        <w:rPr>
          <w:rFonts w:ascii="Times New Roman" w:hAnsi="Times New Roman"/>
          <w:sz w:val="24"/>
        </w:rPr>
        <w:t>2. Hogendoorn SK et al. Soluble triggering receptor expressed on myeloid cells-1 differentiates typical from atypical community-acquired pneumonia. BMC Infect Dis. 2022.</w:t>
      </w:r>
    </w:p>
    <w:p>
      <w:pPr>
        <w:spacing w:after="60"/>
        <w:ind w:left="567" w:hanging="567"/>
      </w:pPr>
      <w:r>
        <w:rPr>
          <w:rFonts w:ascii="Times New Roman" w:hAnsi="Times New Roman"/>
          <w:sz w:val="24"/>
        </w:rPr>
        <w:t>3. Wang J et al. sTREM-1 in elderly patients with community-acquired pneumonia. Arch Gerontol Geriatr. 2019.</w:t>
      </w:r>
    </w:p>
    <w:p>
      <w:pPr>
        <w:spacing w:after="60"/>
        <w:ind w:left="567" w:hanging="567"/>
      </w:pPr>
      <w:r>
        <w:rPr>
          <w:rFonts w:ascii="Times New Roman" w:hAnsi="Times New Roman"/>
          <w:sz w:val="24"/>
        </w:rPr>
        <w:t>4. Tejera A et al. Soluble triggering receptor expressed on myeloid cells-1 in community-acquired pneumonia. Cytokine. 2007.</w:t>
      </w:r>
    </w:p>
    <w:p>
      <w:pPr>
        <w:spacing w:after="60"/>
        <w:ind w:left="567" w:hanging="567"/>
      </w:pPr>
      <w:r>
        <w:rPr>
          <w:rFonts w:ascii="Times New Roman" w:hAnsi="Times New Roman"/>
          <w:sz w:val="24"/>
        </w:rPr>
        <w:t>5. How CK et al. sTREM-1 distinguishes typical from atypical community-acquired pneumonia. Am J Emerg Med. 2011.</w:t>
      </w:r>
    </w:p>
    <w:p>
      <w:pPr>
        <w:spacing w:after="60"/>
        <w:ind w:left="567" w:hanging="567"/>
      </w:pPr>
      <w:r>
        <w:rPr>
          <w:rFonts w:ascii="Times New Roman" w:hAnsi="Times New Roman"/>
          <w:sz w:val="24"/>
        </w:rPr>
        <w:t>6. Almuntashiri S, Jones TW, Wang X, et al. Plasma TIMP-1 as a sex-specific biomarker for acute lung injury. Biol Sex Differ. 2022;13:70.</w:t>
      </w:r>
    </w:p>
    <w:p>
      <w:pPr>
        <w:spacing w:after="60"/>
        <w:ind w:left="567" w:hanging="567"/>
      </w:pPr>
      <w:r>
        <w:rPr>
          <w:rFonts w:ascii="Times New Roman" w:hAnsi="Times New Roman"/>
          <w:sz w:val="24"/>
        </w:rPr>
        <w:t>7. Almuntashiri S et al. Tissue inhibitor of metalloproteinases-1 in lung diseases. Chin Med J Pulm Crit Care Med. 2023.</w:t>
      </w:r>
    </w:p>
    <w:p>
      <w:pPr>
        <w:spacing w:after="60"/>
        <w:ind w:left="567" w:hanging="567"/>
      </w:pPr>
      <w:r>
        <w:rPr>
          <w:rFonts w:ascii="Times New Roman" w:hAnsi="Times New Roman"/>
          <w:sz w:val="24"/>
        </w:rPr>
        <w:t>8. Almuntashiri S et al. Estrogen-dependent gene regulation: TIMP-1 as sex-specific biomarker for acute lung injury. Physiol Rep. 2024.</w:t>
      </w:r>
    </w:p>
    <w:p>
      <w:pPr>
        <w:spacing w:after="60"/>
        <w:ind w:left="567" w:hanging="567"/>
      </w:pPr>
      <w:r>
        <w:rPr>
          <w:rFonts w:ascii="Times New Roman" w:hAnsi="Times New Roman"/>
          <w:sz w:val="24"/>
        </w:rPr>
        <w:t>9. Jones TW et al. MMP-3/TIMP-1 ratio in sepsis. Shock. 2021.</w:t>
      </w:r>
    </w:p>
    <w:p>
      <w:pPr>
        <w:spacing w:after="60"/>
        <w:ind w:left="567" w:hanging="567"/>
      </w:pPr>
      <w:r>
        <w:rPr>
          <w:rFonts w:ascii="Times New Roman" w:hAnsi="Times New Roman"/>
          <w:sz w:val="24"/>
        </w:rPr>
        <w:t>10. Lorente JA et al. TIMP-1 and prognosis in severe sepsis. Crit Care. 2009.</w:t>
      </w:r>
    </w:p>
    <w:p>
      <w:pPr>
        <w:spacing w:after="60"/>
        <w:ind w:left="567" w:hanging="567"/>
      </w:pPr>
      <w:r>
        <w:rPr>
          <w:rFonts w:ascii="Times New Roman" w:hAnsi="Times New Roman"/>
          <w:sz w:val="24"/>
        </w:rPr>
        <w:t>11. Menéndez R et al. Cytokine activation patterns and biomarkers are influenced by microorganisms in community-acquired pneumonia. Chest. 2012;141(6):1537-45.</w:t>
      </w:r>
    </w:p>
    <w:p>
      <w:pPr>
        <w:spacing w:after="60"/>
        <w:ind w:left="567" w:hanging="567"/>
      </w:pPr>
      <w:r>
        <w:rPr>
          <w:rFonts w:ascii="Times New Roman" w:hAnsi="Times New Roman"/>
          <w:sz w:val="24"/>
        </w:rPr>
        <w:t>12. Dao NT et al. Cytokine (TNF-α, IL-6, IL-10) changes in bacterial community-acquired pneumonia. Pneumon. 2023.</w:t>
      </w:r>
    </w:p>
    <w:p>
      <w:pPr>
        <w:spacing w:after="60"/>
        <w:ind w:left="567" w:hanging="567"/>
      </w:pPr>
      <w:r>
        <w:rPr>
          <w:rFonts w:ascii="Times New Roman" w:hAnsi="Times New Roman"/>
          <w:sz w:val="24"/>
        </w:rPr>
        <w:t>13. Miyazaki T et al. AAT/IL-10 ratio to differentiate bacterial vs viral community-acquired pneumonia. Pneumonia. 2023.</w:t>
      </w:r>
    </w:p>
    <w:p>
      <w:pPr>
        <w:spacing w:after="60"/>
        <w:ind w:left="567" w:hanging="567"/>
      </w:pPr>
      <w:r>
        <w:rPr>
          <w:rFonts w:ascii="Times New Roman" w:hAnsi="Times New Roman"/>
          <w:sz w:val="24"/>
        </w:rPr>
        <w:t>14. Feng C et al. Serum interleukin-17 predicts severity and prognosis in community-acquired pneumonia: a prospective cohort study. BMC Pulm Med. 2021;21.</w:t>
      </w:r>
    </w:p>
    <w:p>
      <w:pPr>
        <w:spacing w:after="60"/>
        <w:ind w:left="567" w:hanging="567"/>
      </w:pPr>
      <w:r>
        <w:rPr>
          <w:rFonts w:ascii="Times New Roman" w:hAnsi="Times New Roman"/>
          <w:sz w:val="24"/>
        </w:rPr>
        <w:t>15. Ganaie FA et al. Neutrophil-to-lymphocyte ratio as predictor of adverse outcome in community-acquired pneumonia: meta-analysis. Cureus. 2025.</w:t>
      </w:r>
    </w:p>
    <w:p>
      <w:pPr>
        <w:spacing w:after="60"/>
        <w:ind w:left="567" w:hanging="567"/>
      </w:pPr>
      <w:r>
        <w:rPr>
          <w:rFonts w:ascii="Times New Roman" w:hAnsi="Times New Roman"/>
          <w:sz w:val="24"/>
        </w:rPr>
        <w:t>16. Kuikel S et al. Neutrophil-lymphocyte ratio as predictor of adverse outcome in CAP: systematic review. Health Sci Rep. 2022.</w:t>
      </w:r>
    </w:p>
    <w:p>
      <w:pPr>
        <w:spacing w:after="60"/>
        <w:ind w:left="567" w:hanging="567"/>
      </w:pPr>
      <w:r>
        <w:rPr>
          <w:rFonts w:ascii="Times New Roman" w:hAnsi="Times New Roman"/>
          <w:sz w:val="24"/>
        </w:rPr>
        <w:t>17. Huang X et al. NLR in elderly patients with community-acquired pneumonia. BMC Geriatrics. 2025.</w:t>
      </w:r>
    </w:p>
    <w:p>
      <w:pPr>
        <w:spacing w:after="60"/>
        <w:ind w:left="567" w:hanging="567"/>
      </w:pPr>
      <w:r>
        <w:rPr>
          <w:rFonts w:ascii="Times New Roman" w:hAnsi="Times New Roman"/>
          <w:sz w:val="24"/>
        </w:rPr>
        <w:t>18. Ustaalioğlu BO. C-reactive protein/albumin ratio (CAR) for 30-day mortality in community-acquired pneumonia. Turk J. 2025.</w:t>
      </w:r>
    </w:p>
    <w:p>
      <w:pPr>
        <w:spacing w:after="60"/>
        <w:ind w:left="567" w:hanging="567"/>
      </w:pPr>
      <w:r>
        <w:rPr>
          <w:rFonts w:ascii="Times New Roman" w:hAnsi="Times New Roman"/>
          <w:sz w:val="24"/>
        </w:rPr>
        <w:t>19. Luo Y et al. NLR/PLR and CURB-65 in community-acquired pneumonia. Open Life Sci. 2021.</w:t>
      </w:r>
    </w:p>
    <w:p>
      <w:pPr>
        <w:spacing w:after="60"/>
        <w:ind w:left="567" w:hanging="567"/>
      </w:pPr>
      <w:r>
        <w:rPr>
          <w:rFonts w:ascii="Times New Roman" w:hAnsi="Times New Roman"/>
          <w:sz w:val="24"/>
        </w:rPr>
        <w:t>20. Wang X et al. CRP/albumin ratio and machine learning for severe community-acquired pneumonia. J Thorac Dis. 2025.</w:t>
      </w:r>
    </w:p>
    <w:p>
      <w:pPr>
        <w:spacing w:after="60"/>
        <w:ind w:left="567" w:hanging="567"/>
      </w:pPr>
      <w:r>
        <w:rPr>
          <w:rFonts w:ascii="Times New Roman" w:hAnsi="Times New Roman"/>
          <w:sz w:val="24"/>
        </w:rPr>
        <w:t>21. Viasus D et al. Biomarkers for predicting mortality in community-acquired pneumonia: systematic review. J Infect. 2016.</w:t>
      </w:r>
    </w:p>
    <w:p>
      <w:pPr>
        <w:spacing w:after="60"/>
        <w:ind w:left="567" w:hanging="567"/>
      </w:pPr>
      <w:r>
        <w:rPr>
          <w:rFonts w:ascii="Times New Roman" w:hAnsi="Times New Roman"/>
          <w:sz w:val="24"/>
        </w:rPr>
        <w:t>22. Çetin K et al. FAR + CT + PSI + CURB-65 combined model for CAP. Biomol Biomed. 2025.</w:t>
      </w:r>
    </w:p>
    <w:p>
      <w:pPr>
        <w:spacing w:after="60"/>
        <w:ind w:left="567" w:hanging="567"/>
      </w:pPr>
      <w:r>
        <w:rPr>
          <w:rFonts w:ascii="Times New Roman" w:hAnsi="Times New Roman"/>
          <w:sz w:val="24"/>
        </w:rPr>
        <w:t>23. Menéndez R et al. Biomarkers improve mortality prediction by prognostic scales in community-acquired pneumonia. Thorax. 2009.</w:t>
      </w:r>
    </w:p>
    <w:p>
      <w:pPr>
        <w:spacing w:after="60"/>
        <w:ind w:left="567" w:hanging="567"/>
      </w:pPr>
      <w:r>
        <w:rPr>
          <w:rFonts w:ascii="Times New Roman" w:hAnsi="Times New Roman"/>
          <w:sz w:val="24"/>
        </w:rPr>
        <w:t>24. Tekin M. NLR and outcome in community-acquired pneumonia. Biomedicines. 2024.</w:t>
      </w:r>
    </w:p>
    <w:p>
      <w:pPr>
        <w:spacing w:after="60"/>
        <w:ind w:left="567" w:hanging="567"/>
      </w:pPr>
      <w:r>
        <w:rPr>
          <w:rFonts w:ascii="Times New Roman" w:hAnsi="Times New Roman"/>
          <w:sz w:val="24"/>
        </w:rPr>
        <w:t>25. Tran H et al. Bacterial etiology and antibiotic resistance in CAP, Vietnam. Medicine. 2022.</w:t>
      </w:r>
    </w:p>
    <w:p>
      <w:pPr>
        <w:spacing w:after="60"/>
        <w:ind w:left="567" w:hanging="567"/>
      </w:pPr>
      <w:r>
        <w:rPr>
          <w:rFonts w:ascii="Times New Roman" w:hAnsi="Times New Roman"/>
          <w:sz w:val="24"/>
        </w:rPr>
        <w:t>26. Tran Thi Ngoc Dung et al. Antimicrobial resistance profiles in LRTI, Vietnam. Ann Clin Microbiol Antimicrob. 2025.</w:t>
      </w:r>
    </w:p>
    <w:p>
      <w:pPr>
        <w:spacing w:after="60"/>
        <w:ind w:left="567" w:hanging="567"/>
      </w:pPr>
      <w:r>
        <w:rPr>
          <w:rFonts w:ascii="Times New Roman" w:hAnsi="Times New Roman"/>
          <w:sz w:val="24"/>
        </w:rPr>
        <w:t>27. Phan HT Vy et al. Multiplex-time PCR for severe community-acquired pneumonia, Can Tho. Tạp Chí Y Học Việt Nam. 2025;552(3).</w:t>
      </w:r>
    </w:p>
    <w:p>
      <w:pPr>
        <w:spacing w:after="60"/>
        <w:ind w:left="567" w:hanging="567"/>
      </w:pPr>
      <w:r>
        <w:rPr>
          <w:rFonts w:ascii="Times New Roman" w:hAnsi="Times New Roman"/>
          <w:sz w:val="24"/>
        </w:rPr>
        <w:t>28. Lý Khánh Vân et al. Community-acquired pneumonia with and without diabetes. Tạp Chí Y Học Việt Nam. 2025;554(1).</w:t>
      </w:r>
    </w:p>
    <w:p>
      <w:pPr>
        <w:spacing w:after="60"/>
        <w:ind w:left="567" w:hanging="567"/>
      </w:pPr>
      <w:r>
        <w:rPr>
          <w:rFonts w:ascii="Times New Roman" w:hAnsi="Times New Roman"/>
          <w:sz w:val="24"/>
        </w:rPr>
        <w:t>29. Nguyễn Thanh Huyền et al. Viral PCR in community-acquired pneumonia, Bach Mai Hospital. Tạp Chí Y Học Việt Nam. 2025;551(3).</w:t>
      </w:r>
    </w:p>
    <w:p>
      <w:pPr>
        <w:spacing w:after="60"/>
        <w:ind w:left="567" w:hanging="567"/>
      </w:pPr>
      <w:r>
        <w:rPr>
          <w:rFonts w:ascii="Times New Roman" w:hAnsi="Times New Roman"/>
          <w:sz w:val="24"/>
        </w:rPr>
        <w:t>30. Corica B et al. Sex differences in community-acquired pneumonia. Intern Emerg Med. 2022.</w:t>
      </w:r>
    </w:p>
    <w:p>
      <w:pPr>
        <w:spacing w:after="60"/>
        <w:ind w:left="567" w:hanging="567"/>
      </w:pPr>
      <w:r>
        <w:rPr>
          <w:rFonts w:ascii="Times New Roman" w:hAnsi="Times New Roman"/>
          <w:color w:val="1F497D"/>
          <w:sz w:val="24"/>
        </w:rPr>
        <w:t>31. * Ljungcrantz EM et al. Biomarkers in lower respiratory tract samples for ventilator-associated pneumonia diagnosis: systematic review. Eur Respir Rev. 2025. [sTREM-1 sensitivity 78%, specificity 76%, meta-analysis 40 studies]</w:t>
      </w:r>
    </w:p>
    <w:p>
      <w:pPr>
        <w:spacing w:after="60"/>
        <w:ind w:left="567" w:hanging="567"/>
      </w:pPr>
      <w:r>
        <w:rPr>
          <w:rFonts w:ascii="Times New Roman" w:hAnsi="Times New Roman"/>
          <w:color w:val="1F497D"/>
          <w:sz w:val="24"/>
        </w:rPr>
        <w:t>32. * Ito A et al. Diagnostic markers for community-acquired pneumonia. Ann Transl Med. 2020;8(9):578. (57 citations)</w:t>
      </w:r>
    </w:p>
    <w:p>
      <w:pPr>
        <w:spacing w:after="60"/>
        <w:ind w:left="567" w:hanging="567"/>
      </w:pPr>
      <w:r>
        <w:rPr>
          <w:rFonts w:ascii="Times New Roman" w:hAnsi="Times New Roman"/>
          <w:color w:val="1F497D"/>
          <w:sz w:val="24"/>
        </w:rPr>
        <w:t>33. * Hogendoorn SK et al. Algorithm based on clinical signs and host biomarkers to identify bacterial CAP, Tanzania. BMC Infect Dis. 2021. [sTREM-1 AUC 0.83; sensitivity 94% PCT + respiratory rate]</w:t>
      </w:r>
    </w:p>
    <w:p>
      <w:pPr>
        <w:spacing w:after="60"/>
        <w:ind w:left="567" w:hanging="567"/>
      </w:pPr>
      <w:r>
        <w:rPr>
          <w:rFonts w:ascii="Times New Roman" w:hAnsi="Times New Roman"/>
          <w:color w:val="1F497D"/>
          <w:sz w:val="24"/>
        </w:rPr>
        <w:t>34. * Zhang Z et al. Serum cytokine profiling during general and severe Mycoplasma pneumoniae pneumonia. Front Immunol. 2022. (48 citations)</w:t>
      </w:r>
    </w:p>
    <w:p>
      <w:pPr>
        <w:spacing w:after="60"/>
        <w:ind w:left="567" w:hanging="567"/>
      </w:pPr>
      <w:r>
        <w:rPr>
          <w:rFonts w:ascii="Times New Roman" w:hAnsi="Times New Roman"/>
          <w:color w:val="1F497D"/>
          <w:sz w:val="24"/>
        </w:rPr>
        <w:t>35. * Duan Y et al. Serum cytokines in children with CAP by different respiratory pathogens. Ital J Pediatrics. 2025. (6 citations)</w:t>
      </w:r>
    </w:p>
    <w:p>
      <w:pPr>
        <w:spacing w:after="60"/>
        <w:ind w:left="567" w:hanging="567"/>
      </w:pPr>
      <w:r>
        <w:rPr>
          <w:rFonts w:ascii="Times New Roman" w:hAnsi="Times New Roman"/>
          <w:color w:val="1F497D"/>
          <w:sz w:val="24"/>
        </w:rPr>
        <w:t>36. * Enersen CC et al. NLR and PLR association with 90-day mortality in CAP: derivation-validation cohort. Infection. 2023. (28 citations) [NLR/PLR không cải thiện CURB-65 AUC]</w:t>
      </w:r>
    </w:p>
    <w:p>
      <w:pPr>
        <w:spacing w:after="60"/>
        <w:ind w:left="567" w:hanging="567"/>
      </w:pPr>
      <w:r>
        <w:rPr>
          <w:rFonts w:ascii="Times New Roman" w:hAnsi="Times New Roman"/>
          <w:color w:val="1F497D"/>
          <w:sz w:val="24"/>
        </w:rPr>
        <w:t>37. * Osama M et al. NLR and PLR assessment for pneumonia severity vs CURB-65. Ther Adv Infect Dis. 2026. [PLR AUC 0.9935, NLR AUC 0.9436]</w:t>
      </w:r>
    </w:p>
    <w:p>
      <w:pPr>
        <w:spacing w:after="60"/>
        <w:ind w:left="567" w:hanging="567"/>
      </w:pPr>
      <w:r>
        <w:rPr>
          <w:rFonts w:ascii="Times New Roman" w:hAnsi="Times New Roman"/>
          <w:color w:val="1F497D"/>
          <w:sz w:val="24"/>
        </w:rPr>
        <w:t>38. * Terzi O et al. SII and SIRI in 30-day mortality risk stratification for CAP. Pathogens. 2025. (3 citations)</w:t>
      </w:r>
    </w:p>
    <w:p>
      <w:pPr>
        <w:spacing w:after="60"/>
        <w:ind w:left="567" w:hanging="567"/>
      </w:pPr>
      <w:r>
        <w:rPr>
          <w:rFonts w:ascii="Times New Roman" w:hAnsi="Times New Roman"/>
          <w:color w:val="1F497D"/>
          <w:sz w:val="24"/>
        </w:rPr>
        <w:t>39. * Andrijević I et al. IL-6 and procalcitonin as biomarkers in mortality prediction in hospitalized CAP. Ann Thorac Med. 2014. (59 citations) [IL-6 cutoff 20.2 pg/mL, AUC 0.934]</w:t>
      </w:r>
    </w:p>
    <w:p>
      <w:pPr>
        <w:spacing w:after="60"/>
        <w:ind w:left="567" w:hanging="567"/>
      </w:pPr>
      <w:r>
        <w:rPr>
          <w:rFonts w:ascii="Times New Roman" w:hAnsi="Times New Roman"/>
          <w:color w:val="1F497D"/>
          <w:sz w:val="24"/>
        </w:rPr>
        <w:t>40. * Song X et al. Dual RNA-seq: MDR Klebsiella pneumoniae and host interaction in mouse model. BMC Microbiol. 2025.</w:t>
      </w:r>
    </w:p>
    <w:p>
      <w:pPr>
        <w:spacing w:after="60"/>
        <w:ind w:left="567" w:hanging="567"/>
      </w:pPr>
      <w:r>
        <w:rPr>
          <w:rFonts w:ascii="Times New Roman" w:hAnsi="Times New Roman"/>
          <w:color w:val="1F497D"/>
          <w:sz w:val="24"/>
        </w:rPr>
        <w:t>41. * Kaya I et al. Factors affecting PSI and antibiotic resistance in culture-proven bacterial pneumonia. Front Med. 2026. [MDR → PSI cao hơn; NLR/PLR/SII liên quan MDR]</w:t>
      </w:r>
    </w:p>
    <w:p>
      <w:pPr>
        <w:spacing w:after="60"/>
        <w:ind w:left="567" w:hanging="567"/>
      </w:pPr>
      <w:r>
        <w:rPr>
          <w:rFonts w:ascii="Times New Roman" w:hAnsi="Times New Roman"/>
          <w:color w:val="1F497D"/>
          <w:sz w:val="24"/>
        </w:rPr>
        <w:t>42. * Lythgoe C et al. Machine learning models to predict severity of CAP: systematic review. J Intensive Care Soc. 2025. (3 citations) [AUROC 0.57-0.98, 11 studies, 351,365 patients]</w:t>
      </w:r>
    </w:p>
    <w:p>
      <w:pPr>
        <w:spacing w:after="60"/>
        <w:ind w:left="567" w:hanging="567"/>
      </w:pPr>
      <w:r>
        <w:rPr>
          <w:rFonts w:ascii="Times New Roman" w:hAnsi="Times New Roman"/>
          <w:color w:val="1F497D"/>
          <w:sz w:val="24"/>
        </w:rPr>
        <w:t>43. * Cartuliares MB et al. Point-of-care multiplex PCR in guiding antibiotic treatment of CAP: RCT, Denmark. PLOS Med. 2023. (31 citations)</w:t>
      </w:r>
    </w:p>
    <w:p>
      <w:pPr>
        <w:spacing w:after="60"/>
        <w:ind w:left="567" w:hanging="567"/>
      </w:pPr>
      <w:r>
        <w:rPr>
          <w:rFonts w:ascii="Times New Roman" w:hAnsi="Times New Roman"/>
          <w:color w:val="1F497D"/>
          <w:sz w:val="24"/>
        </w:rPr>
        <w:t>44. * Rothe K et al. Multiplex PCR screening for bacterial co-infections in COVID-19 CAP: CAPNETZ cohort. Infection. 2021. (17 citations)</w:t>
      </w:r>
    </w:p>
    <w:p>
      <w:pPr>
        <w:spacing w:after="60"/>
        <w:ind w:left="567" w:hanging="567"/>
      </w:pPr>
      <w:r>
        <w:rPr>
          <w:rFonts w:ascii="Times New Roman" w:hAnsi="Times New Roman"/>
          <w:color w:val="1F497D"/>
          <w:sz w:val="24"/>
        </w:rPr>
        <w:t>45. * Chang CN et al. Pediatric CAP with high coinfection burden: multiplex PCR experience, Taiwan. J Med Sci. 2026. [50% coinfection]</w:t>
      </w:r>
    </w:p>
    <w:p>
      <w:pPr>
        <w:spacing w:after="60"/>
        <w:ind w:left="567" w:hanging="567"/>
      </w:pPr>
      <w:r>
        <w:rPr>
          <w:rFonts w:ascii="Times New Roman" w:hAnsi="Times New Roman"/>
          <w:sz w:val="24"/>
        </w:rPr>
        <w:t>46. (Xem [33] — Hogendoorn 2021 Tanzania phiên 2 đã trích dẫn riêng)</w:t>
      </w:r>
    </w:p>
    <w:p>
      <w:pPr>
        <w:spacing w:after="60"/>
        <w:ind w:left="567" w:hanging="567"/>
      </w:pPr>
      <w:r>
        <w:rPr>
          <w:rFonts w:ascii="Times New Roman" w:hAnsi="Times New Roman"/>
          <w:color w:val="1F497D"/>
          <w:sz w:val="24"/>
        </w:rPr>
        <w:t>47. * Lê Thị Diệu Hiền, Mai Xuân Khẩn, Tạ Bá Thắng. Thay đổi nồng độ cytokine huyết thanh ở bệnh nhân viêm phổi cộng đồng do vi khuẩn. Tạp Chí Y Học Việt Nam. 2021;502(2). DOI: 10.51298/vmj.v502i2.642. [Bệnh viện Việt Tiệp, Hải Phòng]</w:t>
      </w:r>
    </w:p>
    <w:p>
      <w:pPr>
        <w:spacing w:after="60"/>
        <w:ind w:left="567" w:hanging="567"/>
      </w:pPr>
      <w:r>
        <w:rPr>
          <w:rFonts w:ascii="Times New Roman" w:hAnsi="Times New Roman"/>
          <w:color w:val="1F497D"/>
          <w:sz w:val="24"/>
        </w:rPr>
        <w:t>48. * Bạch Thái Dương et al. Vi khuẩn đa kháng thuốc trên bệnh nhân viêm phổi mắc phải cộng đồng ở người lớn, Cần Thơ. Tạp Chí Y Học Việt Nam. 2024;543(3). DOI: 10.51298/vmj.v543i3.11580.</w:t>
      </w:r>
    </w:p>
    <w:p>
      <w:pPr>
        <w:spacing w:after="60"/>
        <w:ind w:left="567" w:hanging="567"/>
      </w:pPr>
      <w:r>
        <w:rPr>
          <w:rFonts w:ascii="Times New Roman" w:hAnsi="Times New Roman"/>
          <w:color w:val="1F497D"/>
          <w:sz w:val="24"/>
        </w:rPr>
        <w:t>49. * Đỗ Thanh Hoà, Lê Đức Giang. So sánh giá trị các thang điểm dự đoán nhập ICU ở bệnh nhân CAP. Tạp Chí Y Học Việt Nam. 2025;557(1). DOI: 10.51298/vmj.v557i1.16612. [PSI AUC 0.85]</w:t>
      </w:r>
    </w:p>
    <w:p>
      <w:pPr>
        <w:spacing w:after="60"/>
        <w:ind w:left="567" w:hanging="567"/>
      </w:pPr>
      <w:r>
        <w:rPr>
          <w:rFonts w:ascii="Times New Roman" w:hAnsi="Times New Roman"/>
          <w:color w:val="1F497D"/>
          <w:sz w:val="24"/>
        </w:rPr>
        <w:t>50. * Moravec M et al. Th17 lymphocytes and IL-17A in severe community-acquired pneumonia. Epidemiol Mikrobiol Imunol. 2024.</w:t>
      </w:r>
    </w:p>
    <w:p>
      <w:r>
        <w:br w:type="page"/>
      </w:r>
    </w:p>
    <w:p>
      <w:pPr>
        <w:spacing w:before="280" w:after="120"/>
      </w:pPr>
      <w:r>
        <w:rPr>
          <w:rFonts w:ascii="Times New Roman" w:hAnsi="Times New Roman"/>
          <w:b/>
          <w:color w:val="00467F"/>
          <w:sz w:val="28"/>
        </w:rPr>
        <w:t>PHỤ LỤC — Tóm tắt hiệu quả dự đoán các biomarker</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510"/>
        </w:trPr>
        <w:tc>
          <w:tcPr>
            <w:tcW w:type="dxa" w:w="1984"/>
            <w:vAlign w:val="center"/>
            <w:shd w:val="clear" w:color="auto" w:fill="1F497D"/>
          </w:tcPr>
          <w:p>
            <w:pPr>
              <w:jc w:val="center"/>
            </w:pPr>
            <w:r>
              <w:rPr>
                <w:rFonts w:ascii="Times New Roman" w:hAnsi="Times New Roman"/>
                <w:b/>
                <w:color w:val="FFFFFF"/>
                <w:sz w:val="24"/>
              </w:rPr>
              <w:t>Biomarker</w:t>
            </w:r>
          </w:p>
        </w:tc>
        <w:tc>
          <w:tcPr>
            <w:tcW w:type="dxa" w:w="1134"/>
            <w:vAlign w:val="center"/>
            <w:shd w:val="clear" w:color="auto" w:fill="1F497D"/>
          </w:tcPr>
          <w:p>
            <w:pPr>
              <w:jc w:val="center"/>
            </w:pPr>
            <w:r>
              <w:rPr>
                <w:rFonts w:ascii="Times New Roman" w:hAnsi="Times New Roman"/>
                <w:b/>
                <w:color w:val="FFFFFF"/>
                <w:sz w:val="24"/>
              </w:rPr>
              <w:t>AUC tốt nhất</w:t>
            </w:r>
          </w:p>
        </w:tc>
        <w:tc>
          <w:tcPr>
            <w:tcW w:type="dxa" w:w="1984"/>
            <w:vAlign w:val="center"/>
            <w:shd w:val="clear" w:color="auto" w:fill="1F497D"/>
          </w:tcPr>
          <w:p>
            <w:pPr>
              <w:jc w:val="center"/>
            </w:pPr>
            <w:r>
              <w:rPr>
                <w:rFonts w:ascii="Times New Roman" w:hAnsi="Times New Roman"/>
                <w:b/>
                <w:color w:val="FFFFFF"/>
                <w:sz w:val="24"/>
              </w:rPr>
              <w:t>Endpoint</w:t>
            </w:r>
          </w:p>
        </w:tc>
        <w:tc>
          <w:tcPr>
            <w:tcW w:type="dxa" w:w="1984"/>
            <w:vAlign w:val="center"/>
            <w:shd w:val="clear" w:color="auto" w:fill="1F497D"/>
          </w:tcPr>
          <w:p>
            <w:pPr>
              <w:jc w:val="center"/>
            </w:pPr>
            <w:r>
              <w:rPr>
                <w:rFonts w:ascii="Times New Roman" w:hAnsi="Times New Roman"/>
                <w:b/>
                <w:color w:val="FFFFFF"/>
                <w:sz w:val="24"/>
              </w:rPr>
              <w:t>Dân số</w:t>
            </w:r>
          </w:p>
        </w:tc>
        <w:tc>
          <w:tcPr>
            <w:tcW w:type="dxa" w:w="1134"/>
            <w:vAlign w:val="center"/>
            <w:shd w:val="clear" w:color="auto" w:fill="1F497D"/>
          </w:tcPr>
          <w:p>
            <w:pPr>
              <w:jc w:val="center"/>
            </w:pPr>
            <w:r>
              <w:rPr>
                <w:rFonts w:ascii="Times New Roman" w:hAnsi="Times New Roman"/>
                <w:b/>
                <w:color w:val="FFFFFF"/>
                <w:sz w:val="24"/>
              </w:rPr>
              <w:t>Tài liệu</w:t>
            </w:r>
          </w:p>
        </w:tc>
      </w:tr>
      <w:tr>
        <w:tc>
          <w:tcPr>
            <w:tcW w:type="dxa" w:w="1984"/>
            <w:vAlign w:val="center"/>
            <w:shd w:val="clear" w:color="auto" w:fill="EEF4FB"/>
          </w:tcPr>
          <w:p>
            <w:pPr>
              <w:jc w:val="center"/>
            </w:pPr>
            <w:r>
              <w:rPr>
                <w:rFonts w:ascii="Times New Roman" w:hAnsi="Times New Roman"/>
                <w:b w:val="0"/>
                <w:sz w:val="23"/>
              </w:rPr>
              <w:t>sTREM-1 + APACHE II</w:t>
            </w:r>
          </w:p>
        </w:tc>
        <w:tc>
          <w:tcPr>
            <w:tcW w:type="dxa" w:w="1134"/>
            <w:vAlign w:val="center"/>
            <w:shd w:val="clear" w:color="auto" w:fill="EEF4FB"/>
          </w:tcPr>
          <w:p>
            <w:pPr>
              <w:jc w:val="center"/>
            </w:pPr>
            <w:r>
              <w:rPr>
                <w:rFonts w:ascii="Times New Roman" w:hAnsi="Times New Roman"/>
                <w:b w:val="0"/>
                <w:sz w:val="23"/>
              </w:rPr>
              <w:t>0,945</w:t>
            </w:r>
          </w:p>
        </w:tc>
        <w:tc>
          <w:tcPr>
            <w:tcW w:type="dxa" w:w="1984"/>
            <w:vAlign w:val="center"/>
            <w:shd w:val="clear" w:color="auto" w:fill="EEF4FB"/>
          </w:tcPr>
          <w:p>
            <w:pPr>
              <w:jc w:val="center"/>
            </w:pPr>
            <w:r>
              <w:rPr>
                <w:rFonts w:ascii="Times New Roman" w:hAnsi="Times New Roman"/>
                <w:b w:val="0"/>
                <w:sz w:val="23"/>
              </w:rPr>
              <w:t>VAP (ICU)</w:t>
            </w:r>
          </w:p>
        </w:tc>
        <w:tc>
          <w:tcPr>
            <w:tcW w:type="dxa" w:w="1984"/>
            <w:vAlign w:val="center"/>
            <w:shd w:val="clear" w:color="auto" w:fill="EEF4FB"/>
          </w:tcPr>
          <w:p>
            <w:pPr>
              <w:jc w:val="center"/>
            </w:pPr>
            <w:r>
              <w:rPr>
                <w:rFonts w:ascii="Times New Roman" w:hAnsi="Times New Roman"/>
                <w:b w:val="0"/>
                <w:sz w:val="23"/>
              </w:rPr>
              <w:t>Đa trung tâm</w:t>
            </w:r>
          </w:p>
        </w:tc>
        <w:tc>
          <w:tcPr>
            <w:tcW w:type="dxa" w:w="1134"/>
            <w:vAlign w:val="center"/>
            <w:shd w:val="clear" w:color="auto" w:fill="EEF4FB"/>
          </w:tcPr>
          <w:p>
            <w:pPr>
              <w:jc w:val="center"/>
            </w:pPr>
            <w:r>
              <w:rPr>
                <w:rFonts w:ascii="Times New Roman" w:hAnsi="Times New Roman"/>
                <w:b w:val="0"/>
                <w:sz w:val="23"/>
              </w:rPr>
              <w:t>[1]</w:t>
            </w:r>
          </w:p>
        </w:tc>
      </w:tr>
      <w:tr>
        <w:tc>
          <w:tcPr>
            <w:tcW w:type="dxa" w:w="1984"/>
            <w:vAlign w:val="center"/>
            <w:shd w:val="clear" w:color="auto" w:fill="FFFFFF"/>
          </w:tcPr>
          <w:p>
            <w:pPr>
              <w:jc w:val="center"/>
            </w:pPr>
            <w:r>
              <w:rPr>
                <w:rFonts w:ascii="Times New Roman" w:hAnsi="Times New Roman"/>
                <w:b w:val="0"/>
                <w:sz w:val="23"/>
              </w:rPr>
              <w:t>sTREM-1 đơn lẻ</w:t>
            </w:r>
          </w:p>
        </w:tc>
        <w:tc>
          <w:tcPr>
            <w:tcW w:type="dxa" w:w="1134"/>
            <w:vAlign w:val="center"/>
            <w:shd w:val="clear" w:color="auto" w:fill="FFFFFF"/>
          </w:tcPr>
          <w:p>
            <w:pPr>
              <w:jc w:val="center"/>
            </w:pPr>
            <w:r>
              <w:rPr>
                <w:rFonts w:ascii="Times New Roman" w:hAnsi="Times New Roman"/>
                <w:b w:val="0"/>
                <w:sz w:val="23"/>
              </w:rPr>
              <w:t>0,78–0,88</w:t>
            </w:r>
          </w:p>
        </w:tc>
        <w:tc>
          <w:tcPr>
            <w:tcW w:type="dxa" w:w="1984"/>
            <w:vAlign w:val="center"/>
            <w:shd w:val="clear" w:color="auto" w:fill="FFFFFF"/>
          </w:tcPr>
          <w:p>
            <w:pPr>
              <w:jc w:val="center"/>
            </w:pPr>
            <w:r>
              <w:rPr>
                <w:rFonts w:ascii="Times New Roman" w:hAnsi="Times New Roman"/>
                <w:b w:val="0"/>
                <w:sz w:val="23"/>
              </w:rPr>
              <w:t>CAP vi khuẩn</w:t>
            </w:r>
          </w:p>
        </w:tc>
        <w:tc>
          <w:tcPr>
            <w:tcW w:type="dxa" w:w="1984"/>
            <w:vAlign w:val="center"/>
            <w:shd w:val="clear" w:color="auto" w:fill="FFFFFF"/>
          </w:tcPr>
          <w:p>
            <w:pPr>
              <w:jc w:val="center"/>
            </w:pPr>
            <w:r>
              <w:rPr>
                <w:rFonts w:ascii="Times New Roman" w:hAnsi="Times New Roman"/>
                <w:b w:val="0"/>
                <w:sz w:val="23"/>
              </w:rPr>
              <w:t>Tanzania, Hà Lan</w:t>
            </w:r>
          </w:p>
        </w:tc>
        <w:tc>
          <w:tcPr>
            <w:tcW w:type="dxa" w:w="1134"/>
            <w:vAlign w:val="center"/>
            <w:shd w:val="clear" w:color="auto" w:fill="FFFFFF"/>
          </w:tcPr>
          <w:p>
            <w:pPr>
              <w:jc w:val="center"/>
            </w:pPr>
            <w:r>
              <w:rPr>
                <w:rFonts w:ascii="Times New Roman" w:hAnsi="Times New Roman"/>
                <w:b w:val="0"/>
                <w:sz w:val="23"/>
              </w:rPr>
              <w:t>[2,3,33]</w:t>
            </w:r>
          </w:p>
        </w:tc>
      </w:tr>
      <w:tr>
        <w:tc>
          <w:tcPr>
            <w:tcW w:type="dxa" w:w="1984"/>
            <w:vAlign w:val="center"/>
            <w:shd w:val="clear" w:color="auto" w:fill="EEF4FB"/>
          </w:tcPr>
          <w:p>
            <w:pPr>
              <w:jc w:val="center"/>
            </w:pPr>
            <w:r>
              <w:rPr>
                <w:rFonts w:ascii="Times New Roman" w:hAnsi="Times New Roman"/>
                <w:b w:val="0"/>
                <w:sz w:val="23"/>
              </w:rPr>
              <w:t>TIMP-1 (nữ)</w:t>
            </w:r>
          </w:p>
        </w:tc>
        <w:tc>
          <w:tcPr>
            <w:tcW w:type="dxa" w:w="1134"/>
            <w:vAlign w:val="center"/>
            <w:shd w:val="clear" w:color="auto" w:fill="EEF4FB"/>
          </w:tcPr>
          <w:p>
            <w:pPr>
              <w:jc w:val="center"/>
            </w:pPr>
            <w:r>
              <w:rPr>
                <w:rFonts w:ascii="Times New Roman" w:hAnsi="Times New Roman"/>
                <w:b w:val="0"/>
                <w:sz w:val="23"/>
              </w:rPr>
              <w:t>0,87</w:t>
            </w:r>
          </w:p>
        </w:tc>
        <w:tc>
          <w:tcPr>
            <w:tcW w:type="dxa" w:w="1984"/>
            <w:vAlign w:val="center"/>
            <w:shd w:val="clear" w:color="auto" w:fill="EEF4FB"/>
          </w:tcPr>
          <w:p>
            <w:pPr>
              <w:jc w:val="center"/>
            </w:pPr>
            <w:r>
              <w:rPr>
                <w:rFonts w:ascii="Times New Roman" w:hAnsi="Times New Roman"/>
                <w:b w:val="0"/>
                <w:sz w:val="23"/>
              </w:rPr>
              <w:t>Tử vong 30 ngày ARDS</w:t>
            </w:r>
          </w:p>
        </w:tc>
        <w:tc>
          <w:tcPr>
            <w:tcW w:type="dxa" w:w="1984"/>
            <w:vAlign w:val="center"/>
            <w:shd w:val="clear" w:color="auto" w:fill="EEF4FB"/>
          </w:tcPr>
          <w:p>
            <w:pPr>
              <w:jc w:val="center"/>
            </w:pPr>
            <w:r>
              <w:rPr>
                <w:rFonts w:ascii="Times New Roman" w:hAnsi="Times New Roman"/>
                <w:b w:val="0"/>
                <w:sz w:val="23"/>
              </w:rPr>
              <w:t>Mỹ (ALTA trial, n=100)</w:t>
            </w:r>
          </w:p>
        </w:tc>
        <w:tc>
          <w:tcPr>
            <w:tcW w:type="dxa" w:w="1134"/>
            <w:vAlign w:val="center"/>
            <w:shd w:val="clear" w:color="auto" w:fill="EEF4FB"/>
          </w:tcPr>
          <w:p>
            <w:pPr>
              <w:jc w:val="center"/>
            </w:pPr>
            <w:r>
              <w:rPr>
                <w:rFonts w:ascii="Times New Roman" w:hAnsi="Times New Roman"/>
                <w:b w:val="0"/>
                <w:sz w:val="23"/>
              </w:rPr>
              <w:t>[6]</w:t>
            </w:r>
          </w:p>
        </w:tc>
      </w:tr>
      <w:tr>
        <w:tc>
          <w:tcPr>
            <w:tcW w:type="dxa" w:w="1984"/>
            <w:vAlign w:val="center"/>
            <w:shd w:val="clear" w:color="auto" w:fill="FFFFFF"/>
          </w:tcPr>
          <w:p>
            <w:pPr>
              <w:jc w:val="center"/>
            </w:pPr>
            <w:r>
              <w:rPr>
                <w:rFonts w:ascii="Times New Roman" w:hAnsi="Times New Roman"/>
                <w:b w:val="0"/>
                <w:sz w:val="23"/>
              </w:rPr>
              <w:t>IL-6</w:t>
            </w:r>
          </w:p>
        </w:tc>
        <w:tc>
          <w:tcPr>
            <w:tcW w:type="dxa" w:w="1134"/>
            <w:vAlign w:val="center"/>
            <w:shd w:val="clear" w:color="auto" w:fill="FFFFFF"/>
          </w:tcPr>
          <w:p>
            <w:pPr>
              <w:jc w:val="center"/>
            </w:pPr>
            <w:r>
              <w:rPr>
                <w:rFonts w:ascii="Times New Roman" w:hAnsi="Times New Roman"/>
                <w:b w:val="0"/>
                <w:sz w:val="23"/>
              </w:rPr>
              <w:t>0,934</w:t>
            </w:r>
          </w:p>
        </w:tc>
        <w:tc>
          <w:tcPr>
            <w:tcW w:type="dxa" w:w="1984"/>
            <w:vAlign w:val="center"/>
            <w:shd w:val="clear" w:color="auto" w:fill="FFFFFF"/>
          </w:tcPr>
          <w:p>
            <w:pPr>
              <w:jc w:val="center"/>
            </w:pPr>
            <w:r>
              <w:rPr>
                <w:rFonts w:ascii="Times New Roman" w:hAnsi="Times New Roman"/>
                <w:b w:val="0"/>
                <w:sz w:val="23"/>
              </w:rPr>
              <w:t>Tử vong 30 ngày CAP</w:t>
            </w:r>
          </w:p>
        </w:tc>
        <w:tc>
          <w:tcPr>
            <w:tcW w:type="dxa" w:w="1984"/>
            <w:vAlign w:val="center"/>
            <w:shd w:val="clear" w:color="auto" w:fill="FFFFFF"/>
          </w:tcPr>
          <w:p>
            <w:pPr>
              <w:jc w:val="center"/>
            </w:pPr>
            <w:r>
              <w:rPr>
                <w:rFonts w:ascii="Times New Roman" w:hAnsi="Times New Roman"/>
                <w:b w:val="0"/>
                <w:sz w:val="23"/>
              </w:rPr>
              <w:t>Croatia (n=101)</w:t>
            </w:r>
          </w:p>
        </w:tc>
        <w:tc>
          <w:tcPr>
            <w:tcW w:type="dxa" w:w="1134"/>
            <w:vAlign w:val="center"/>
            <w:shd w:val="clear" w:color="auto" w:fill="FFFFFF"/>
          </w:tcPr>
          <w:p>
            <w:pPr>
              <w:jc w:val="center"/>
            </w:pPr>
            <w:r>
              <w:rPr>
                <w:rFonts w:ascii="Times New Roman" w:hAnsi="Times New Roman"/>
                <w:b w:val="0"/>
                <w:sz w:val="23"/>
              </w:rPr>
              <w:t>[39]</w:t>
            </w:r>
          </w:p>
        </w:tc>
      </w:tr>
      <w:tr>
        <w:tc>
          <w:tcPr>
            <w:tcW w:type="dxa" w:w="1984"/>
            <w:vAlign w:val="center"/>
            <w:shd w:val="clear" w:color="auto" w:fill="EEF4FB"/>
          </w:tcPr>
          <w:p>
            <w:pPr>
              <w:jc w:val="center"/>
            </w:pPr>
            <w:r>
              <w:rPr>
                <w:rFonts w:ascii="Times New Roman" w:hAnsi="Times New Roman"/>
                <w:b w:val="0"/>
                <w:sz w:val="23"/>
              </w:rPr>
              <w:t>IL-6</w:t>
            </w:r>
          </w:p>
        </w:tc>
        <w:tc>
          <w:tcPr>
            <w:tcW w:type="dxa" w:w="1134"/>
            <w:vAlign w:val="center"/>
            <w:shd w:val="clear" w:color="auto" w:fill="EEF4FB"/>
          </w:tcPr>
          <w:p>
            <w:pPr>
              <w:jc w:val="center"/>
            </w:pPr>
            <w:r>
              <w:rPr>
                <w:rFonts w:ascii="Times New Roman" w:hAnsi="Times New Roman"/>
                <w:b w:val="0"/>
                <w:sz w:val="23"/>
              </w:rPr>
              <w:t>0,85 (PSI+CRP+IL6)</w:t>
            </w:r>
          </w:p>
        </w:tc>
        <w:tc>
          <w:tcPr>
            <w:tcW w:type="dxa" w:w="1984"/>
            <w:vAlign w:val="center"/>
            <w:shd w:val="clear" w:color="auto" w:fill="EEF4FB"/>
          </w:tcPr>
          <w:p>
            <w:pPr>
              <w:jc w:val="center"/>
            </w:pPr>
            <w:r>
              <w:rPr>
                <w:rFonts w:ascii="Times New Roman" w:hAnsi="Times New Roman"/>
                <w:b w:val="0"/>
                <w:sz w:val="23"/>
              </w:rPr>
              <w:t>Tử vong 30 ngày</w:t>
            </w:r>
          </w:p>
        </w:tc>
        <w:tc>
          <w:tcPr>
            <w:tcW w:type="dxa" w:w="1984"/>
            <w:vAlign w:val="center"/>
            <w:shd w:val="clear" w:color="auto" w:fill="EEF4FB"/>
          </w:tcPr>
          <w:p>
            <w:pPr>
              <w:jc w:val="center"/>
            </w:pPr>
            <w:r>
              <w:rPr>
                <w:rFonts w:ascii="Times New Roman" w:hAnsi="Times New Roman"/>
                <w:b w:val="0"/>
                <w:sz w:val="23"/>
              </w:rPr>
              <w:t>Tây Ban Nha (n=453)</w:t>
            </w:r>
          </w:p>
        </w:tc>
        <w:tc>
          <w:tcPr>
            <w:tcW w:type="dxa" w:w="1134"/>
            <w:vAlign w:val="center"/>
            <w:shd w:val="clear" w:color="auto" w:fill="EEF4FB"/>
          </w:tcPr>
          <w:p>
            <w:pPr>
              <w:jc w:val="center"/>
            </w:pPr>
            <w:r>
              <w:rPr>
                <w:rFonts w:ascii="Times New Roman" w:hAnsi="Times New Roman"/>
                <w:b w:val="0"/>
                <w:sz w:val="23"/>
              </w:rPr>
              <w:t>[23]</w:t>
            </w:r>
          </w:p>
        </w:tc>
      </w:tr>
      <w:tr>
        <w:tc>
          <w:tcPr>
            <w:tcW w:type="dxa" w:w="1984"/>
            <w:vAlign w:val="center"/>
            <w:shd w:val="clear" w:color="auto" w:fill="FFFFFF"/>
          </w:tcPr>
          <w:p>
            <w:pPr>
              <w:jc w:val="center"/>
            </w:pPr>
            <w:r>
              <w:rPr>
                <w:rFonts w:ascii="Times New Roman" w:hAnsi="Times New Roman"/>
                <w:b w:val="0"/>
                <w:sz w:val="23"/>
              </w:rPr>
              <w:t>IL-17</w:t>
            </w:r>
          </w:p>
        </w:tc>
        <w:tc>
          <w:tcPr>
            <w:tcW w:type="dxa" w:w="1134"/>
            <w:vAlign w:val="center"/>
            <w:shd w:val="clear" w:color="auto" w:fill="FFFFFF"/>
          </w:tcPr>
          <w:p>
            <w:pPr>
              <w:jc w:val="center"/>
            </w:pPr>
            <w:r>
              <w:rPr>
                <w:rFonts w:ascii="Times New Roman" w:hAnsi="Times New Roman"/>
                <w:b w:val="0"/>
                <w:sz w:val="23"/>
              </w:rPr>
              <w:t>0,89 (ước tính)</w:t>
            </w:r>
          </w:p>
        </w:tc>
        <w:tc>
          <w:tcPr>
            <w:tcW w:type="dxa" w:w="1984"/>
            <w:vAlign w:val="center"/>
            <w:shd w:val="clear" w:color="auto" w:fill="FFFFFF"/>
          </w:tcPr>
          <w:p>
            <w:pPr>
              <w:jc w:val="center"/>
            </w:pPr>
            <w:r>
              <w:rPr>
                <w:rFonts w:ascii="Times New Roman" w:hAnsi="Times New Roman"/>
                <w:b w:val="0"/>
                <w:sz w:val="23"/>
              </w:rPr>
              <w:t>Tử vong CAP</w:t>
            </w:r>
          </w:p>
        </w:tc>
        <w:tc>
          <w:tcPr>
            <w:tcW w:type="dxa" w:w="1984"/>
            <w:vAlign w:val="center"/>
            <w:shd w:val="clear" w:color="auto" w:fill="FFFFFF"/>
          </w:tcPr>
          <w:p>
            <w:pPr>
              <w:jc w:val="center"/>
            </w:pPr>
            <w:r>
              <w:rPr>
                <w:rFonts w:ascii="Times New Roman" w:hAnsi="Times New Roman"/>
                <w:b w:val="0"/>
                <w:sz w:val="23"/>
              </w:rPr>
              <w:t>Trung Quốc (n=239)</w:t>
            </w:r>
          </w:p>
        </w:tc>
        <w:tc>
          <w:tcPr>
            <w:tcW w:type="dxa" w:w="1134"/>
            <w:vAlign w:val="center"/>
            <w:shd w:val="clear" w:color="auto" w:fill="FFFFFF"/>
          </w:tcPr>
          <w:p>
            <w:pPr>
              <w:jc w:val="center"/>
            </w:pPr>
            <w:r>
              <w:rPr>
                <w:rFonts w:ascii="Times New Roman" w:hAnsi="Times New Roman"/>
                <w:b w:val="0"/>
                <w:sz w:val="23"/>
              </w:rPr>
              <w:t>[14]</w:t>
            </w:r>
          </w:p>
        </w:tc>
      </w:tr>
      <w:tr>
        <w:tc>
          <w:tcPr>
            <w:tcW w:type="dxa" w:w="1984"/>
            <w:vAlign w:val="center"/>
            <w:shd w:val="clear" w:color="auto" w:fill="EEF4FB"/>
          </w:tcPr>
          <w:p>
            <w:pPr>
              <w:jc w:val="center"/>
            </w:pPr>
            <w:r>
              <w:rPr>
                <w:rFonts w:ascii="Times New Roman" w:hAnsi="Times New Roman"/>
                <w:b w:val="0"/>
                <w:sz w:val="23"/>
              </w:rPr>
              <w:t>PLR</w:t>
            </w:r>
          </w:p>
        </w:tc>
        <w:tc>
          <w:tcPr>
            <w:tcW w:type="dxa" w:w="1134"/>
            <w:vAlign w:val="center"/>
            <w:shd w:val="clear" w:color="auto" w:fill="EEF4FB"/>
          </w:tcPr>
          <w:p>
            <w:pPr>
              <w:jc w:val="center"/>
            </w:pPr>
            <w:r>
              <w:rPr>
                <w:rFonts w:ascii="Times New Roman" w:hAnsi="Times New Roman"/>
                <w:b w:val="0"/>
                <w:sz w:val="23"/>
              </w:rPr>
              <w:t>0,9935</w:t>
            </w:r>
          </w:p>
        </w:tc>
        <w:tc>
          <w:tcPr>
            <w:tcW w:type="dxa" w:w="1984"/>
            <w:vAlign w:val="center"/>
            <w:shd w:val="clear" w:color="auto" w:fill="EEF4FB"/>
          </w:tcPr>
          <w:p>
            <w:pPr>
              <w:jc w:val="center"/>
            </w:pPr>
            <w:r>
              <w:rPr>
                <w:rFonts w:ascii="Times New Roman" w:hAnsi="Times New Roman"/>
                <w:b w:val="0"/>
                <w:sz w:val="23"/>
              </w:rPr>
              <w:t>CURB-65 ≥3 (nặng)</w:t>
            </w:r>
          </w:p>
        </w:tc>
        <w:tc>
          <w:tcPr>
            <w:tcW w:type="dxa" w:w="1984"/>
            <w:vAlign w:val="center"/>
            <w:shd w:val="clear" w:color="auto" w:fill="EEF4FB"/>
          </w:tcPr>
          <w:p>
            <w:pPr>
              <w:jc w:val="center"/>
            </w:pPr>
            <w:r>
              <w:rPr>
                <w:rFonts w:ascii="Times New Roman" w:hAnsi="Times New Roman"/>
                <w:b w:val="0"/>
                <w:sz w:val="23"/>
              </w:rPr>
              <w:t>Pakistan (n=121)</w:t>
            </w:r>
          </w:p>
        </w:tc>
        <w:tc>
          <w:tcPr>
            <w:tcW w:type="dxa" w:w="1134"/>
            <w:vAlign w:val="center"/>
            <w:shd w:val="clear" w:color="auto" w:fill="EEF4FB"/>
          </w:tcPr>
          <w:p>
            <w:pPr>
              <w:jc w:val="center"/>
            </w:pPr>
            <w:r>
              <w:rPr>
                <w:rFonts w:ascii="Times New Roman" w:hAnsi="Times New Roman"/>
                <w:b w:val="0"/>
                <w:sz w:val="23"/>
              </w:rPr>
              <w:t>[37]</w:t>
            </w:r>
          </w:p>
        </w:tc>
      </w:tr>
      <w:tr>
        <w:tc>
          <w:tcPr>
            <w:tcW w:type="dxa" w:w="1984"/>
            <w:vAlign w:val="center"/>
            <w:shd w:val="clear" w:color="auto" w:fill="FFFFFF"/>
          </w:tcPr>
          <w:p>
            <w:pPr>
              <w:jc w:val="center"/>
            </w:pPr>
            <w:r>
              <w:rPr>
                <w:rFonts w:ascii="Times New Roman" w:hAnsi="Times New Roman"/>
                <w:b w:val="0"/>
                <w:sz w:val="23"/>
              </w:rPr>
              <w:t>NLR</w:t>
            </w:r>
          </w:p>
        </w:tc>
        <w:tc>
          <w:tcPr>
            <w:tcW w:type="dxa" w:w="1134"/>
            <w:vAlign w:val="center"/>
            <w:shd w:val="clear" w:color="auto" w:fill="FFFFFF"/>
          </w:tcPr>
          <w:p>
            <w:pPr>
              <w:jc w:val="center"/>
            </w:pPr>
            <w:r>
              <w:rPr>
                <w:rFonts w:ascii="Times New Roman" w:hAnsi="Times New Roman"/>
                <w:b w:val="0"/>
                <w:sz w:val="23"/>
              </w:rPr>
              <w:t>0,9436</w:t>
            </w:r>
          </w:p>
        </w:tc>
        <w:tc>
          <w:tcPr>
            <w:tcW w:type="dxa" w:w="1984"/>
            <w:vAlign w:val="center"/>
            <w:shd w:val="clear" w:color="auto" w:fill="FFFFFF"/>
          </w:tcPr>
          <w:p>
            <w:pPr>
              <w:jc w:val="center"/>
            </w:pPr>
            <w:r>
              <w:rPr>
                <w:rFonts w:ascii="Times New Roman" w:hAnsi="Times New Roman"/>
                <w:b w:val="0"/>
                <w:sz w:val="23"/>
              </w:rPr>
              <w:t>CURB-65 ≥3 (nặng)</w:t>
            </w:r>
          </w:p>
        </w:tc>
        <w:tc>
          <w:tcPr>
            <w:tcW w:type="dxa" w:w="1984"/>
            <w:vAlign w:val="center"/>
            <w:shd w:val="clear" w:color="auto" w:fill="FFFFFF"/>
          </w:tcPr>
          <w:p>
            <w:pPr>
              <w:jc w:val="center"/>
            </w:pPr>
            <w:r>
              <w:rPr>
                <w:rFonts w:ascii="Times New Roman" w:hAnsi="Times New Roman"/>
                <w:b w:val="0"/>
                <w:sz w:val="23"/>
              </w:rPr>
              <w:t>Pakistan (n=121)</w:t>
            </w:r>
          </w:p>
        </w:tc>
        <w:tc>
          <w:tcPr>
            <w:tcW w:type="dxa" w:w="1134"/>
            <w:vAlign w:val="center"/>
            <w:shd w:val="clear" w:color="auto" w:fill="FFFFFF"/>
          </w:tcPr>
          <w:p>
            <w:pPr>
              <w:jc w:val="center"/>
            </w:pPr>
            <w:r>
              <w:rPr>
                <w:rFonts w:ascii="Times New Roman" w:hAnsi="Times New Roman"/>
                <w:b w:val="0"/>
                <w:sz w:val="23"/>
              </w:rPr>
              <w:t>[37]</w:t>
            </w:r>
          </w:p>
        </w:tc>
      </w:tr>
      <w:tr>
        <w:tc>
          <w:tcPr>
            <w:tcW w:type="dxa" w:w="1984"/>
            <w:vAlign w:val="center"/>
            <w:shd w:val="clear" w:color="auto" w:fill="EEF4FB"/>
          </w:tcPr>
          <w:p>
            <w:pPr>
              <w:jc w:val="center"/>
            </w:pPr>
            <w:r>
              <w:rPr>
                <w:rFonts w:ascii="Times New Roman" w:hAnsi="Times New Roman"/>
                <w:b w:val="0"/>
                <w:sz w:val="23"/>
              </w:rPr>
              <w:t>CAR</w:t>
            </w:r>
          </w:p>
        </w:tc>
        <w:tc>
          <w:tcPr>
            <w:tcW w:type="dxa" w:w="1134"/>
            <w:vAlign w:val="center"/>
            <w:shd w:val="clear" w:color="auto" w:fill="EEF4FB"/>
          </w:tcPr>
          <w:p>
            <w:pPr>
              <w:jc w:val="center"/>
            </w:pPr>
            <w:r>
              <w:rPr>
                <w:rFonts w:ascii="Times New Roman" w:hAnsi="Times New Roman"/>
                <w:b w:val="0"/>
                <w:sz w:val="23"/>
              </w:rPr>
              <w:t>0,837</w:t>
            </w:r>
          </w:p>
        </w:tc>
        <w:tc>
          <w:tcPr>
            <w:tcW w:type="dxa" w:w="1984"/>
            <w:vAlign w:val="center"/>
            <w:shd w:val="clear" w:color="auto" w:fill="EEF4FB"/>
          </w:tcPr>
          <w:p>
            <w:pPr>
              <w:jc w:val="center"/>
            </w:pPr>
            <w:r>
              <w:rPr>
                <w:rFonts w:ascii="Times New Roman" w:hAnsi="Times New Roman"/>
                <w:b w:val="0"/>
                <w:sz w:val="23"/>
              </w:rPr>
              <w:t>Tử vong 30 ngày</w:t>
            </w:r>
          </w:p>
        </w:tc>
        <w:tc>
          <w:tcPr>
            <w:tcW w:type="dxa" w:w="1984"/>
            <w:vAlign w:val="center"/>
            <w:shd w:val="clear" w:color="auto" w:fill="EEF4FB"/>
          </w:tcPr>
          <w:p>
            <w:pPr>
              <w:jc w:val="center"/>
            </w:pPr>
            <w:r>
              <w:rPr>
                <w:rFonts w:ascii="Times New Roman" w:hAnsi="Times New Roman"/>
                <w:b w:val="0"/>
                <w:sz w:val="23"/>
              </w:rPr>
              <w:t>Thổ Nhĩ Kỳ</w:t>
            </w:r>
          </w:p>
        </w:tc>
        <w:tc>
          <w:tcPr>
            <w:tcW w:type="dxa" w:w="1134"/>
            <w:vAlign w:val="center"/>
            <w:shd w:val="clear" w:color="auto" w:fill="EEF4FB"/>
          </w:tcPr>
          <w:p>
            <w:pPr>
              <w:jc w:val="center"/>
            </w:pPr>
            <w:r>
              <w:rPr>
                <w:rFonts w:ascii="Times New Roman" w:hAnsi="Times New Roman"/>
                <w:b w:val="0"/>
                <w:sz w:val="23"/>
              </w:rPr>
              <w:t>[18]</w:t>
            </w:r>
          </w:p>
        </w:tc>
      </w:tr>
      <w:tr>
        <w:tc>
          <w:tcPr>
            <w:tcW w:type="dxa" w:w="1984"/>
            <w:vAlign w:val="center"/>
            <w:shd w:val="clear" w:color="auto" w:fill="FFFFFF"/>
          </w:tcPr>
          <w:p>
            <w:pPr>
              <w:jc w:val="center"/>
            </w:pPr>
            <w:r>
              <w:rPr>
                <w:rFonts w:ascii="Times New Roman" w:hAnsi="Times New Roman"/>
                <w:b w:val="0"/>
                <w:sz w:val="23"/>
              </w:rPr>
              <w:t>PSI</w:t>
            </w:r>
          </w:p>
        </w:tc>
        <w:tc>
          <w:tcPr>
            <w:tcW w:type="dxa" w:w="1134"/>
            <w:vAlign w:val="center"/>
            <w:shd w:val="clear" w:color="auto" w:fill="FFFFFF"/>
          </w:tcPr>
          <w:p>
            <w:pPr>
              <w:jc w:val="center"/>
            </w:pPr>
            <w:r>
              <w:rPr>
                <w:rFonts w:ascii="Times New Roman" w:hAnsi="Times New Roman"/>
                <w:b w:val="0"/>
                <w:sz w:val="23"/>
              </w:rPr>
              <w:t>0,85</w:t>
            </w:r>
          </w:p>
        </w:tc>
        <w:tc>
          <w:tcPr>
            <w:tcW w:type="dxa" w:w="1984"/>
            <w:vAlign w:val="center"/>
            <w:shd w:val="clear" w:color="auto" w:fill="FFFFFF"/>
          </w:tcPr>
          <w:p>
            <w:pPr>
              <w:jc w:val="center"/>
            </w:pPr>
            <w:r>
              <w:rPr>
                <w:rFonts w:ascii="Times New Roman" w:hAnsi="Times New Roman"/>
                <w:b w:val="0"/>
                <w:sz w:val="23"/>
              </w:rPr>
              <w:t>ICU admission</w:t>
            </w:r>
          </w:p>
        </w:tc>
        <w:tc>
          <w:tcPr>
            <w:tcW w:type="dxa" w:w="1984"/>
            <w:vAlign w:val="center"/>
            <w:shd w:val="clear" w:color="auto" w:fill="FFFFFF"/>
          </w:tcPr>
          <w:p>
            <w:pPr>
              <w:jc w:val="center"/>
            </w:pPr>
            <w:r>
              <w:rPr>
                <w:rFonts w:ascii="Times New Roman" w:hAnsi="Times New Roman"/>
                <w:b w:val="0"/>
                <w:sz w:val="23"/>
              </w:rPr>
              <w:t>Việt Nam (n=350)</w:t>
            </w:r>
          </w:p>
        </w:tc>
        <w:tc>
          <w:tcPr>
            <w:tcW w:type="dxa" w:w="1134"/>
            <w:vAlign w:val="center"/>
            <w:shd w:val="clear" w:color="auto" w:fill="FFFFFF"/>
          </w:tcPr>
          <w:p>
            <w:pPr>
              <w:jc w:val="center"/>
            </w:pPr>
            <w:r>
              <w:rPr>
                <w:rFonts w:ascii="Times New Roman" w:hAnsi="Times New Roman"/>
                <w:b w:val="0"/>
                <w:sz w:val="23"/>
              </w:rPr>
              <w:t>[49]</w:t>
            </w:r>
          </w:p>
        </w:tc>
      </w:tr>
      <w:tr>
        <w:tc>
          <w:tcPr>
            <w:tcW w:type="dxa" w:w="1984"/>
            <w:vAlign w:val="center"/>
            <w:shd w:val="clear" w:color="auto" w:fill="EEF4FB"/>
          </w:tcPr>
          <w:p>
            <w:pPr>
              <w:jc w:val="center"/>
            </w:pPr>
            <w:r>
              <w:rPr>
                <w:rFonts w:ascii="Times New Roman" w:hAnsi="Times New Roman"/>
                <w:b w:val="0"/>
                <w:sz w:val="23"/>
              </w:rPr>
              <w:t>PSI + CRP</w:t>
            </w:r>
          </w:p>
        </w:tc>
        <w:tc>
          <w:tcPr>
            <w:tcW w:type="dxa" w:w="1134"/>
            <w:vAlign w:val="center"/>
            <w:shd w:val="clear" w:color="auto" w:fill="EEF4FB"/>
          </w:tcPr>
          <w:p>
            <w:pPr>
              <w:jc w:val="center"/>
            </w:pPr>
            <w:r>
              <w:rPr>
                <w:rFonts w:ascii="Times New Roman" w:hAnsi="Times New Roman"/>
                <w:b w:val="0"/>
                <w:sz w:val="23"/>
              </w:rPr>
              <w:t>0,85</w:t>
            </w:r>
          </w:p>
        </w:tc>
        <w:tc>
          <w:tcPr>
            <w:tcW w:type="dxa" w:w="1984"/>
            <w:vAlign w:val="center"/>
            <w:shd w:val="clear" w:color="auto" w:fill="EEF4FB"/>
          </w:tcPr>
          <w:p>
            <w:pPr>
              <w:jc w:val="center"/>
            </w:pPr>
            <w:r>
              <w:rPr>
                <w:rFonts w:ascii="Times New Roman" w:hAnsi="Times New Roman"/>
                <w:b w:val="0"/>
                <w:sz w:val="23"/>
              </w:rPr>
              <w:t>Tử vong 30 ngày</w:t>
            </w:r>
          </w:p>
        </w:tc>
        <w:tc>
          <w:tcPr>
            <w:tcW w:type="dxa" w:w="1984"/>
            <w:vAlign w:val="center"/>
            <w:shd w:val="clear" w:color="auto" w:fill="EEF4FB"/>
          </w:tcPr>
          <w:p>
            <w:pPr>
              <w:jc w:val="center"/>
            </w:pPr>
            <w:r>
              <w:rPr>
                <w:rFonts w:ascii="Times New Roman" w:hAnsi="Times New Roman"/>
                <w:b w:val="0"/>
                <w:sz w:val="23"/>
              </w:rPr>
              <w:t>Tây Ban Nha (n=453)</w:t>
            </w:r>
          </w:p>
        </w:tc>
        <w:tc>
          <w:tcPr>
            <w:tcW w:type="dxa" w:w="1134"/>
            <w:vAlign w:val="center"/>
            <w:shd w:val="clear" w:color="auto" w:fill="EEF4FB"/>
          </w:tcPr>
          <w:p>
            <w:pPr>
              <w:jc w:val="center"/>
            </w:pPr>
            <w:r>
              <w:rPr>
                <w:rFonts w:ascii="Times New Roman" w:hAnsi="Times New Roman"/>
                <w:b w:val="0"/>
                <w:sz w:val="23"/>
              </w:rPr>
              <w:t>[23]</w:t>
            </w:r>
          </w:p>
        </w:tc>
      </w:tr>
      <w:tr>
        <w:tc>
          <w:tcPr>
            <w:tcW w:type="dxa" w:w="1984"/>
            <w:vAlign w:val="center"/>
            <w:shd w:val="clear" w:color="auto" w:fill="FFFFFF"/>
          </w:tcPr>
          <w:p>
            <w:pPr>
              <w:jc w:val="center"/>
            </w:pPr>
            <w:r>
              <w:rPr>
                <w:rFonts w:ascii="Times New Roman" w:hAnsi="Times New Roman"/>
                <w:b w:val="0"/>
                <w:sz w:val="23"/>
              </w:rPr>
              <w:t>NLR + PLR vs CURB-65</w:t>
            </w:r>
          </w:p>
        </w:tc>
        <w:tc>
          <w:tcPr>
            <w:tcW w:type="dxa" w:w="1134"/>
            <w:vAlign w:val="center"/>
            <w:shd w:val="clear" w:color="auto" w:fill="FFFFFF"/>
          </w:tcPr>
          <w:p>
            <w:pPr>
              <w:jc w:val="center"/>
            </w:pPr>
            <w:r>
              <w:rPr>
                <w:rFonts w:ascii="Times New Roman" w:hAnsi="Times New Roman"/>
                <w:b w:val="0"/>
                <w:sz w:val="23"/>
              </w:rPr>
              <w:t>Không cải thiện</w:t>
            </w:r>
          </w:p>
        </w:tc>
        <w:tc>
          <w:tcPr>
            <w:tcW w:type="dxa" w:w="1984"/>
            <w:vAlign w:val="center"/>
            <w:shd w:val="clear" w:color="auto" w:fill="FFFFFF"/>
          </w:tcPr>
          <w:p>
            <w:pPr>
              <w:jc w:val="center"/>
            </w:pPr>
            <w:r>
              <w:rPr>
                <w:rFonts w:ascii="Times New Roman" w:hAnsi="Times New Roman"/>
                <w:b w:val="0"/>
                <w:sz w:val="23"/>
              </w:rPr>
              <w:t>90 ngày mortality</w:t>
            </w:r>
          </w:p>
        </w:tc>
        <w:tc>
          <w:tcPr>
            <w:tcW w:type="dxa" w:w="1984"/>
            <w:vAlign w:val="center"/>
            <w:shd w:val="clear" w:color="auto" w:fill="FFFFFF"/>
          </w:tcPr>
          <w:p>
            <w:pPr>
              <w:jc w:val="center"/>
            </w:pPr>
            <w:r>
              <w:rPr>
                <w:rFonts w:ascii="Times New Roman" w:hAnsi="Times New Roman"/>
                <w:b w:val="0"/>
                <w:sz w:val="23"/>
              </w:rPr>
              <w:t>Đan Mạch + châu Âu</w:t>
            </w:r>
          </w:p>
        </w:tc>
        <w:tc>
          <w:tcPr>
            <w:tcW w:type="dxa" w:w="1134"/>
            <w:vAlign w:val="center"/>
            <w:shd w:val="clear" w:color="auto" w:fill="FFFFFF"/>
          </w:tcPr>
          <w:p>
            <w:pPr>
              <w:jc w:val="center"/>
            </w:pPr>
            <w:r>
              <w:rPr>
                <w:rFonts w:ascii="Times New Roman" w:hAnsi="Times New Roman"/>
                <w:b w:val="0"/>
                <w:sz w:val="23"/>
              </w:rPr>
              <w:t>[36]</w:t>
            </w:r>
          </w:p>
        </w:tc>
      </w:tr>
    </w:tbl>
    <w:p>
      <w:pPr>
        <w:spacing w:after="200"/>
      </w:pPr>
      <w:r>
        <w:rPr>
          <w:rFonts w:ascii="Times New Roman" w:hAnsi="Times New Roman"/>
          <w:b w:val="0"/>
          <w:i w:val="0"/>
          <w:sz w:val="26"/>
        </w:rPr>
      </w:r>
    </w:p>
    <w:p>
      <w:pPr>
        <w:spacing w:after="80"/>
      </w:pPr>
      <w:r>
        <w:rPr>
          <w:rFonts w:ascii="Times New Roman" w:hAnsi="Times New Roman"/>
          <w:b w:val="0"/>
          <w:i/>
          <w:sz w:val="24"/>
        </w:rPr>
        <w:t>Lưu ý: AUC từ các nghiên cứu khác nhau không so sánh trực tiếp được (khác population, endpoint, cutoff). Cần validation nội địa trên dân số Việt Nam.</w:t>
      </w:r>
    </w:p>
    <w:p>
      <w:pPr>
        <w:spacing w:after="160"/>
      </w:pPr>
      <w:r>
        <w:rPr>
          <w:rFonts w:ascii="Times New Roman" w:hAnsi="Times New Roman"/>
          <w:b w:val="0"/>
          <w:i w:val="0"/>
          <w:sz w:val="26"/>
        </w:rPr>
      </w:r>
    </w:p>
    <w:p>
      <w:pPr>
        <w:spacing w:after="80"/>
        <w:jc w:val="center"/>
      </w:pPr>
      <w:r>
        <w:rPr>
          <w:rFonts w:ascii="Times New Roman" w:hAnsi="Times New Roman"/>
          <w:b w:val="0"/>
          <w:i w:val="0"/>
          <w:sz w:val="22"/>
        </w:rPr>
        <w:t>────────────────────────────────────────────────────────────</w:t>
      </w:r>
    </w:p>
    <w:p>
      <w:pPr>
        <w:spacing w:after="80"/>
        <w:jc w:val="center"/>
      </w:pPr>
      <w:r>
        <w:rPr>
          <w:rFonts w:ascii="Times New Roman" w:hAnsi="Times New Roman"/>
          <w:b w:val="0"/>
          <w:i/>
          <w:color w:val="808080"/>
          <w:sz w:val="22"/>
        </w:rPr>
        <w:t>Báo cáo tạo tự động bởi Claude Code | Phiên 2: 2026-06-11</w:t>
      </w:r>
    </w:p>
    <w:p>
      <w:pPr>
        <w:spacing w:after="80"/>
        <w:jc w:val="center"/>
      </w:pPr>
      <w:r>
        <w:rPr>
          <w:rFonts w:ascii="Times New Roman" w:hAnsi="Times New Roman"/>
          <w:b w:val="0"/>
          <w:i/>
          <w:color w:val="808080"/>
          <w:sz w:val="22"/>
        </w:rPr>
        <w:t>Dự án: CAP Research | Bệnh viện Phổi Hải Phòng</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