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[Họ và tên SV 2] - MSSV: [MSSV 2]</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2]</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giao diện Frontend UI/UX: </w:t>
      </w:r>
      <w:r w:rsidRPr="003F6A97">
        <w:rPr>
          <w:rFonts w:ascii="Times New Roman" w:hAnsi="Times New Roman" w:cs="Times New Roman"/>
          <w:sz w:val="28"/>
          <w:szCs w:val="28"/>
        </w:rPr>
        <w:t>Chèn 2 - 3 ảnh chụp màn hình các giao diện chính của phần mềm.</w:t>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1: Dashboard / Trang chủ]</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2: Chức năng xử lý nghiệp vụ chính]</w:t>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 vượt ngưỡng nghiệm thu 0,15 của US18.</w:t>
        <w:br/>
        <w:t>• Thuật toán/Mô hình 2 —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