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[Số nhóm] - Lớp [Tên Lớp/Khóa]</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[Họ và tên SV 2] - MSSV: [MSSV 2]</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2]</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Kết quả giao diện Frontend UI/UX:</w:t>
      </w:r>
      <w:r w:rsidRPr="003F6A97">
        <w:rPr>
          <w:rFonts w:ascii="Times New Roman" w:hAnsi="Times New Roman" w:cs="Times New Roman"/>
          <w:sz w:val="28"/>
          <w:szCs w:val="28"/>
        </w:rPr>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 Công nghệ: Next.js 15 App Router + TypeScript + TailwindCSS 4, TanStack Query cho trạng thái máy chủ, Recharts cho biểu đồ, Lucide cho biểu tượng.</w:t>
        <w:br/>
        <w:t>• Các trang công khai (trang chủ, tra cứu, chi tiết sách, quy định) dựng phía máy chủ nên xem được nội dung ngay cả khi tắt JavaScript và máy tìm kiếm đọc được. Tình trạng còn mấy bản trên kệ dựng theo từng yêu cầu để không hiển thị số liệu cũ.</w:t>
        <w:br/>
        <w:t>• Chuẩn SEO: tiêu đề và mô tả riêng cho từng trang, thẻ canonical, Open Graph, dữ liệu có cấu trúc schema.org (Library kèm SearchAction, Book kèm aggregateRating và tình trạng còn sách, FAQPage cho trang quy định), sitemap.xml và robots.txt sinh tự động; khu vực tài khoản và nghiệp vụ bị chặn khỏi chỉ mục.</w:t>
        <w:br/>
        <w:t>• Khả năng tiếp cận: ngôn ngữ trang là tiếng Việt, mỗi trang một thẻ h1, liên kết bỏ qua phần đầu trang, nhãn cho mọi ô nhập, bảng có caption và tiêu đề cột, viền focus rõ ràng, tôn trọng thiết lập giảm chuyển động.</w:t>
        <w:br/>
        <w:t>• Giao diện thích ứng: đã kiểm ở bề rộng 390 px, không có cuộn ngang, thanh điều hướng thu gọn thành nút menu.</w:t>
        <w:br/>
        <w:t>• Phân quyền trên giao diện: thanh điều hướng và các trang đổi theo vai trò; quyền thật vẫn do backend quyết định nên sửa giao diện không vượt được kiểm soát.</w:t>
        <w:br/>
        <w:t>• Thông báo lỗi dịch sang tiếng Việt theo từng mã nghiệp vụ, ví dụ khi bạn đọc còn nợ phạt hoặc đã mượn đủ số cuốn thì thủ thư thấy đúng lý do bị chặn.</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1. Trang chủ: ô tìm kiếm, thể loại và sách còn trên kệ</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9" name="Picture 9"/>
            <wp:cNvGraphicFramePr>
              <a:graphicFrameLocks noChangeAspect="1"/>
            </wp:cNvGraphicFramePr>
            <a:graphic>
              <a:graphicData uri="http://schemas.openxmlformats.org/drawingml/2006/picture">
                <pic:pic>
                  <pic:nvPicPr>
                    <pic:cNvPr id="0" name="01-trang-chu.jpg"/>
                    <pic:cNvPicPr/>
                  </pic:nvPicPr>
                  <pic:blipFill>
                    <a:blip r:embed="rId17"/>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2. Tra cứu sách với bộ lọc thể loại và tình trạng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0" name="Picture 10"/>
            <wp:cNvGraphicFramePr>
              <a:graphicFrameLocks noChangeAspect="1"/>
            </wp:cNvGraphicFramePr>
            <a:graphic>
              <a:graphicData uri="http://schemas.openxmlformats.org/drawingml/2006/picture">
                <pic:pic>
                  <pic:nvPicPr>
                    <pic:cNvPr id="0" name="02-tra-cuu-sach.jpg"/>
                    <pic:cNvPicPr/>
                  </pic:nvPicPr>
                  <pic:blipFill>
                    <a:blip r:embed="rId18"/>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3. Chi tiết sách kèm tình trạng bản sao và điểm đánh giá</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1" name="Picture 11"/>
            <wp:cNvGraphicFramePr>
              <a:graphicFrameLocks noChangeAspect="1"/>
            </wp:cNvGraphicFramePr>
            <a:graphic>
              <a:graphicData uri="http://schemas.openxmlformats.org/drawingml/2006/picture">
                <pic:pic>
                  <pic:nvPicPr>
                    <pic:cNvPr id="0" name="03-chi-tiet-sach.jpg"/>
                    <pic:cNvPicPr/>
                  </pic:nvPicPr>
                  <pic:blipFill>
                    <a:blip r:embed="rId19"/>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4. Bạn đọc xem sách đang mượn và gia hạn trực tuyến</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2" name="Picture 12"/>
            <wp:cNvGraphicFramePr>
              <a:graphicFrameLocks noChangeAspect="1"/>
            </wp:cNvGraphicFramePr>
            <a:graphic>
              <a:graphicData uri="http://schemas.openxmlformats.org/drawingml/2006/picture">
                <pic:pic>
                  <pic:nvPicPr>
                    <pic:cNvPr id="0" name="04-sach-cua-toi.jpg"/>
                    <pic:cNvPicPr/>
                  </pic:nvPicPr>
                  <pic:blipFill>
                    <a:blip r:embed="rId20"/>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5. Trang gợi ý sách cho bạn đọc</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3" name="Picture 13"/>
            <wp:cNvGraphicFramePr>
              <a:graphicFrameLocks noChangeAspect="1"/>
            </wp:cNvGraphicFramePr>
            <a:graphic>
              <a:graphicData uri="http://schemas.openxmlformats.org/drawingml/2006/picture">
                <pic:pic>
                  <pic:nvPicPr>
                    <pic:cNvPr id="0" name="05-goi-y.jpg"/>
                    <pic:cNvPicPr/>
                  </pic:nvPicPr>
                  <pic:blipFill>
                    <a:blip r:embed="rId21"/>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6. Quầy mượn trả của thủ thư, có dự báo nguy cơ trả trễ</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4" name="Picture 14"/>
            <wp:cNvGraphicFramePr>
              <a:graphicFrameLocks noChangeAspect="1"/>
            </wp:cNvGraphicFramePr>
            <a:graphic>
              <a:graphicData uri="http://schemas.openxmlformats.org/drawingml/2006/picture">
                <pic:pic>
                  <pic:nvPicPr>
                    <pic:cNvPr id="0" name="06-quay-muon-tra.jpg"/>
                    <pic:cNvPicPr/>
                  </pic:nvPicPr>
                  <pic:blipFill>
                    <a:blip r:embed="rId22"/>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7. Thống kê thư viện với biểu đồ lượt mượn và tồn kho</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5" name="Picture 15"/>
            <wp:cNvGraphicFramePr>
              <a:graphicFrameLocks noChangeAspect="1"/>
            </wp:cNvGraphicFramePr>
            <a:graphic>
              <a:graphicData uri="http://schemas.openxmlformats.org/drawingml/2006/picture">
                <pic:pic>
                  <pic:nvPicPr>
                    <pic:cNvPr id="0" name="07-thong-ke.jpg"/>
                    <pic:cNvPicPr/>
                  </pic:nvPicPr>
                  <pic:blipFill>
                    <a:blip r:embed="rId23"/>
                    <a:stretch>
                      <a:fillRect/>
                    </a:stretch>
                  </pic:blipFill>
                  <pic:spPr>
                    <a:xfrm>
                      <a:off x="0" y="0"/>
                      <a:ext cx="5400000" cy="2695781"/>
                    </a:xfrm>
                    <a:prstGeom prst="rect"/>
                  </pic:spPr>
                </pic:pic>
              </a:graphicData>
            </a:graphic>
          </wp:inline>
        </w:drawing>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vượt ngưỡng nghiệm thu 0,15 của US18.</w:t>
        <w:br/>
        <w:t>• Thuật toán/Mô hình 2,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