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Vùng Ngữ Nghĩa và Hỗ Trợ Chẩn Đoán Ảnh Tiêu Bản Toàn Phần Bằng Học Giám Sát Yếu: Chiến Lược Nghiên Cứu và Triển Khai Phần Mềm Lâm Sàng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Ảnh tiêu bản giải phẫu bệnh toàn phần (Whole Slide Image - WSI) là dữ liệu số hóa gigapixel mô tả toàn diện vi môi trường tế bào và mô học ở độ phóng đại cao (</w:t>
      </w:r>
      <w:r w:rsidDel="00000000" w:rsidR="00000000" w:rsidRPr="00000000">
        <w:rPr>
          <w:rFonts w:ascii="Arial" w:cs="Arial" w:eastAsia="Arial" w:hAnsi="Arial"/>
          <w:color w:val="1f1f1f"/>
        </w:rPr>
        <w:drawing>
          <wp:inline distB="19050" distT="19050" distL="19050" distR="19050">
            <wp:extent cx="348456" cy="234416"/>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8456" cy="234416"/>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348456" cy="234416"/>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456" cy="234416"/>
                    </a:xfrm>
                    <a:prstGeom prst="rect"/>
                    <a:ln/>
                  </pic:spPr>
                </pic:pic>
              </a:graphicData>
            </a:graphic>
          </wp:inline>
        </w:drawing>
      </w:r>
      <w:r w:rsidDel="00000000" w:rsidR="00000000" w:rsidRPr="00000000">
        <w:rPr>
          <w:rFonts w:ascii="Arial" w:cs="Arial" w:eastAsia="Arial" w:hAnsi="Arial"/>
          <w:color w:val="1f1f1f"/>
          <w:rtl w:val="0"/>
        </w:rPr>
        <w:t xml:space="preserve">), với kích thước thông thường vượt mức </w:t>
      </w:r>
      <w:r w:rsidDel="00000000" w:rsidR="00000000" w:rsidRPr="00000000">
        <w:rPr>
          <w:rFonts w:ascii="Arial" w:cs="Arial" w:eastAsia="Arial" w:hAnsi="Arial"/>
          <w:color w:val="1f1f1f"/>
        </w:rPr>
        <w:drawing>
          <wp:inline distB="19050" distT="19050" distL="19050" distR="19050">
            <wp:extent cx="1327842" cy="23620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27842" cy="236203"/>
                    </a:xfrm>
                    <a:prstGeom prst="rect"/>
                    <a:ln/>
                  </pic:spPr>
                </pic:pic>
              </a:graphicData>
            </a:graphic>
          </wp:inline>
        </w:drawing>
      </w:r>
      <w:r w:rsidDel="00000000" w:rsidR="00000000" w:rsidRPr="00000000">
        <w:rPr>
          <w:rFonts w:ascii="Arial" w:cs="Arial" w:eastAsia="Arial" w:hAnsi="Arial"/>
          <w:color w:val="1f1f1f"/>
          <w:rtl w:val="0"/>
        </w:rPr>
        <w:t xml:space="preserve"> điểm ảnh và dung lượng tệp từ 1 đến 3 GB mỗi tiêu bản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Việc xây dựng các hệ thống trí tuệ nhân tạo hỗ trợ phân vùng ngữ nghĩa (semantic segmentation) và chẩn đoán mô bệnh học gặp phải rào cản lớn do chi phí gán nhãn thủ công mức pixel đòi hỏi hàng chục giờ làm việc của các bác sĩ giải phẫu bệnh giàu kinh nghiệm, đồng thời tồn tại độ biến thiên nhận định liên chuyên gia đáng kể</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Để giải quyết điểm nghẽn này, phương pháp học giám sát yếu (Weakly Supervised Learning - WSL) kết hợp học đa thực thể (Multiple Instance Learning - MIL) và phân vùng ngữ nghĩa giám sát yếu (Weakly Supervised Semantic Segmentation - WSSS) dựa trên nhãn chẩn đoán cấp tiêu bản (slide-level labels) đã trở thành hướng đi chủ đạo trong giải phẫu bệnh tính toán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chuyển dịch từ phân loại cấp tiêu bản sang bản địa hóa và phân vùng chuẩn xác cấp pixel đặt ra nhiều thách thức lý thuyết lẫn kỹ thuật phần mềm. Báo cáo phân tích chuyên sâu các giải pháp thuật toán tiết kiệm tài nguyên tính toán, kiến trúc hệ thống phần mềm đáp ứng thực tiễn lâm sàng, các công trình khoa học có thiết kế tối ưu, cùng các kho dữ liệu mở kèm tập đặc trưng trích xuất sẵn nhằm hỗ trợ việc xây dựng đồ án nghiên cứu đạt chuẩn khoa học và có tính ứng dụng cao.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Tiếp Cận Thuật Toán Tối Ưu Cho Nghiên Cứu Tiết Kiệm Tài Nguyên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Nghịch lý lớn nhất đối với các nhóm nghiên cứu học thuật khi tiếp cận WSI là sự chênh lệch giữa quy mô dữ liệu gigapixel và giới hạn bộ nhớ phần cứng GPU tiêu chuẩn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Việc huấn luyện một mạng nơ-ron tích chập (CNN) hoặc Vision Transformer (ViT) nguyên khối từ đầu theo cơ chế lan truyền ngược toàn phần trên toàn bộ tiêu bản là bất khả thi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Chiến lược giải quyết hiệu quả nhất hiện nay là áp dụng quy trình tách rời hai giai đoạn (decoupled two-stage framework), kết hợp giữa việc trích xuất biểu diễn ngoại tuyến thông qua các mô hình nền tảng bệnh học (Pathology Foundation Models - PFMs) và tối ưu hóa các bộ tổng hợp MIL gọn nhẹ</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giai đoạn tiền xử lý, tiêu bản WSI được phân đoạn tự động để loại bỏ nền kính quang học, sau đó được phân cắt thành hàng nghìn lát cắt nhỏ (patches hoặc tiles) với kích thước cố định như </w:t>
      </w:r>
      <w:r w:rsidDel="00000000" w:rsidR="00000000" w:rsidRPr="00000000">
        <w:rPr>
          <w:rFonts w:ascii="Arial" w:cs="Arial" w:eastAsia="Arial" w:hAnsi="Arial"/>
          <w:color w:val="1f1f1f"/>
        </w:rPr>
        <w:drawing>
          <wp:inline distB="19050" distT="19050" distL="19050" distR="19050">
            <wp:extent cx="827187" cy="235430"/>
            <wp:effectExtent b="0" l="0" r="0" t="0"/>
            <wp:docPr id="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827187" cy="23543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 pixel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Thay vì sử dụng các mạng trích xuất đặc trưng huấn luyện trên ảnh tự nhiên như ImageNet vốn thiếu độ nhạy với hình thái nhân tế bào và chất đệm vi thể, các nghiên cứu tiên tiến hiện nay tận dụng các mô hình nền tảng được huấn luyện tự giám sát (Self-Supervised Learning - SSL) trên hàng chục triệu lát cắt mô bệnh học như UNI, Prov-GigaPath, Virchow, CTransPath hoặc Phikon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Bằng cách đóng băng trọng số của mô hình nền tảng và trích xuất véc-tơ đặc trưng ngoại tuyến (offline feature extraction), một tiêu bản gigapixel phức tạp được rút gọn thành một ma trận đặc trưng </w:t>
      </w:r>
      <w:r w:rsidDel="00000000" w:rsidR="00000000" w:rsidRPr="00000000">
        <w:rPr>
          <w:rFonts w:ascii="Arial" w:cs="Arial" w:eastAsia="Arial" w:hAnsi="Arial"/>
          <w:color w:val="1f1f1f"/>
        </w:rPr>
        <w:drawing>
          <wp:inline distB="19050" distT="19050" distL="19050" distR="19050">
            <wp:extent cx="918468" cy="248752"/>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18468" cy="248752"/>
                    </a:xfrm>
                    <a:prstGeom prst="rect"/>
                    <a:ln/>
                  </pic:spPr>
                </pic:pic>
              </a:graphicData>
            </a:graphic>
          </wp:inline>
        </w:drawing>
      </w:r>
      <w:r w:rsidDel="00000000" w:rsidR="00000000" w:rsidRPr="00000000">
        <w:rPr>
          <w:rFonts w:ascii="Arial" w:cs="Arial" w:eastAsia="Arial" w:hAnsi="Arial"/>
          <w:color w:val="1f1f1f"/>
          <w:rtl w:val="0"/>
        </w:rPr>
        <w:t xml:space="preserve">, trong đó </w:t>
      </w:r>
      <w:r w:rsidDel="00000000" w:rsidR="00000000" w:rsidRPr="00000000">
        <w:rPr>
          <w:rFonts w:ascii="Arial" w:cs="Arial" w:eastAsia="Arial" w:hAnsi="Arial"/>
          <w:color w:val="1f1f1f"/>
        </w:rPr>
        <w:drawing>
          <wp:inline distB="19050" distT="19050" distL="19050" distR="19050">
            <wp:extent cx="178693" cy="248894"/>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8693" cy="248894"/>
                    </a:xfrm>
                    <a:prstGeom prst="rect"/>
                    <a:ln/>
                  </pic:spPr>
                </pic:pic>
              </a:graphicData>
            </a:graphic>
          </wp:inline>
        </w:drawing>
      </w:r>
      <w:r w:rsidDel="00000000" w:rsidR="00000000" w:rsidRPr="00000000">
        <w:rPr>
          <w:rFonts w:ascii="Arial" w:cs="Arial" w:eastAsia="Arial" w:hAnsi="Arial"/>
          <w:color w:val="1f1f1f"/>
          <w:rtl w:val="0"/>
        </w:rPr>
        <w:t xml:space="preserve"> biểu diễn số lượng lát mô và </w:t>
      </w:r>
      <w:r w:rsidDel="00000000" w:rsidR="00000000" w:rsidRPr="00000000">
        <w:rPr>
          <w:rFonts w:ascii="Arial" w:cs="Arial" w:eastAsia="Arial" w:hAnsi="Arial"/>
          <w:color w:val="1f1f1f"/>
        </w:rPr>
        <w:drawing>
          <wp:inline distB="19050" distT="19050" distL="19050" distR="19050">
            <wp:extent cx="167581" cy="242061"/>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7581" cy="242061"/>
                    </a:xfrm>
                    <a:prstGeom prst="rect"/>
                    <a:ln/>
                  </pic:spPr>
                </pic:pic>
              </a:graphicData>
            </a:graphic>
          </wp:inline>
        </w:drawing>
      </w:r>
      <w:r w:rsidDel="00000000" w:rsidR="00000000" w:rsidRPr="00000000">
        <w:rPr>
          <w:rFonts w:ascii="Arial" w:cs="Arial" w:eastAsia="Arial" w:hAnsi="Arial"/>
          <w:color w:val="1f1f1f"/>
          <w:rtl w:val="0"/>
        </w:rPr>
        <w:t xml:space="preserve"> là số chiều nhúng đặc trưng (thường là 768 hoặc 1024)</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Toàn bộ pha huấn luyện phân loại và phân vùng sau đó chỉ diễn ra trên không gian véc-tơ này, cho phép huấn luyện hoàn tất trong vài chục phút trên các dòng GPU phổ thông mà không tiêu tốn tài nguyên tính toán lặp lại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chuyển đổi từ dự đoán nhị phân cấp tiêu bản sang phân vùng ngữ nghĩa chi tiết, hướng tiếp cận thông minh là tạo lập mặt nạ giả định (pseudo-mask generation) thông qua cơ chế bản đồ kích hoạt lớp (Class Activation Mapping - CAM) hoặc trọng số chú ý (attention weights) của mạng MIL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Tuy nhiên, các phương pháp CAM cổ điển thường gặp hiện tượng chỉ kích hoạt các vùng lõi có tính phân biệt cao nhất (discriminative cores) mà bỏ qua các ranh giới mô thâm nhiễm</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Nhằm khắc phục hạn chế này mà không cần gán nhãn pixel, các nghiên cứu gần đây áp dụng cơ chế tổng hợp hình học và ràng buộc nhất quán đặc trưng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Tiêu biểu là việc khai thác các lát mô đơn thành phần (homogeneous patches) để tổng hợp thành các tiêu bản nhân tạo thông qua phép biến đổi ngẫu nhiên dạng lưới Mosaic hoặc đường cong Bézier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Vì vị trí ghép nối được kiểm soát hoàn toàn bằng thuật toán, hệ thống tự động sở hữu nhãn phân vùng mức pixel hoàn hảo cho dữ liệu tổng hợp, từ đó chuyển bài toán học giám sát yếu thành bài toán học có giám sát đầy đủ trên tập dữ liệu mô phỏng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Phương pháp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Yêu cầu nhãn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trích xuất đặc trưng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Chi phí phần cứng huấn luyện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Độ phân giải phân vùng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vùng toàn phần (Fully Supervised)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Mặt nạ đa giác cấp pixel trên toàn bộ tiêu bản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Huấn luyện end-to-end trên các mảng ảnh lớn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Cực cao (Yêu cầu cụm GPU chuyên dụng đa nhân)</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Cực cao (Mức ranh giới tế bào và mô học)</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Học đa thực thể cổ điển (AB-MIL, Max-Pooling)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Chỉ cần nhãn chẩn đoán cấp tiêu bản (Slide-level)</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ResNet-50 tiền huấn luyện trên tập ImageNet</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Rất thấp (Chạy tốt trên GPU cá nhân)</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Thấp (Khoanh vùng thô theo kích thước lát cắt </w:t>
            </w:r>
            <w:r w:rsidDel="00000000" w:rsidR="00000000" w:rsidRPr="00000000">
              <w:rPr>
                <w:rFonts w:ascii="Arial" w:cs="Arial" w:eastAsia="Arial" w:hAnsi="Arial"/>
                <w:color w:val="1f1f1f"/>
              </w:rPr>
              <w:drawing>
                <wp:inline distB="19050" distT="19050" distL="19050" distR="19050">
                  <wp:extent cx="827187" cy="23543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vùng giám sát yếu kết hợp Foundation Model (WSSS + PFM)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Nhãn cấp tiêu bản kết hợp tri thức tự giám sát</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Mô hình nền tảng bệnh học (UNI, Virchow, CTransPath)</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Thấp đến trung bình (Khởi tạo đặc trưng ngoại tuyến)</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Cao (Mặt nạ tái tạo tiệm cận mức có giám sát)</w:t>
            </w:r>
            <w:r w:rsidDel="00000000" w:rsidR="00000000" w:rsidRPr="00000000">
              <w:rPr>
                <w:rFonts w:ascii="Arial" w:cs="Arial" w:eastAsia="Arial" w:hAnsi="Arial"/>
                <w:color w:val="444746"/>
                <w:sz w:val="24"/>
                <w:szCs w:val="24"/>
                <w:vertAlign w:val="superscript"/>
                <w:rtl w:val="0"/>
              </w:rPr>
              <w:t xml:space="preserve">16</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Công Trình Tiêu Biểu Với Kiến Trúc Trực Quan Và Hiệu Quả Vượt Trội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lựa chọn mô hình tham chiếu đóng vai trò quyết định đến độ tin cậy khoa học của đồ án. Các công trình nổi bật trong lĩnh vực giải phẫu bệnh tính toán không chỉ đạt độ chính xác chẩn đoán vượt trội mà còn sở hữu tư duy thiết kế toán học mạch lạc và khả năng giải thích hình thái rõ ràng.</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CLAM: Cơ Chế Chú Ý Có Cổng Kết Hợp Phân Cụm Ràng Buộc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Được công bố trên tạp chí </w:t>
      </w:r>
      <w:r w:rsidDel="00000000" w:rsidR="00000000" w:rsidRPr="00000000">
        <w:rPr>
          <w:rFonts w:ascii="Arial" w:cs="Arial" w:eastAsia="Arial" w:hAnsi="Arial"/>
          <w:i w:val="1"/>
          <w:iCs w:val="1"/>
          <w:color w:val="1f1f1f"/>
          <w:rtl w:val="0"/>
        </w:rPr>
        <w:t xml:space="preserve">Nature Biomedical Engineering</w:t>
      </w:r>
      <w:r w:rsidDel="00000000" w:rsidR="00000000" w:rsidRPr="00000000">
        <w:rPr>
          <w:rFonts w:ascii="Arial" w:cs="Arial" w:eastAsia="Arial" w:hAnsi="Arial"/>
          <w:color w:val="1f1f1f"/>
          <w:rtl w:val="0"/>
        </w:rPr>
        <w:t xml:space="preserve">, mô hình CLAM (Clustering-constrained Attention Multiple Instance Learning) của Mahmood và cộng sự đã thiết lập một chuẩn mực trong phân loại và khoanh vùng tổn thương WSI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Kiến trúc cốt lõi của CLAM dựa trên mạng nơ-ron chú ý có cổng (Gated-Attention Mechanism), cho phép gán cho mỗi lát mô </w:t>
      </w:r>
      <w:r w:rsidDel="00000000" w:rsidR="00000000" w:rsidRPr="00000000">
        <w:rPr>
          <w:rFonts w:ascii="Arial" w:cs="Arial" w:eastAsia="Arial" w:hAnsi="Arial"/>
          <w:color w:val="1f1f1f"/>
        </w:rPr>
        <w:drawing>
          <wp:inline distB="19050" distT="19050" distL="19050" distR="19050">
            <wp:extent cx="91877" cy="238879"/>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1877" cy="238879"/>
                    </a:xfrm>
                    <a:prstGeom prst="rect"/>
                    <a:ln/>
                  </pic:spPr>
                </pic:pic>
              </a:graphicData>
            </a:graphic>
          </wp:inline>
        </w:drawing>
      </w:r>
      <w:r w:rsidDel="00000000" w:rsidR="00000000" w:rsidRPr="00000000">
        <w:rPr>
          <w:rFonts w:ascii="Arial" w:cs="Arial" w:eastAsia="Arial" w:hAnsi="Arial"/>
          <w:color w:val="1f1f1f"/>
          <w:rtl w:val="0"/>
        </w:rPr>
        <w:t xml:space="preserve"> một trọng số chú ý chuẩn hóa </w:t>
      </w:r>
      <w:r w:rsidDel="00000000" w:rsidR="00000000" w:rsidRPr="00000000">
        <w:rPr>
          <w:rFonts w:ascii="Arial" w:cs="Arial" w:eastAsia="Arial" w:hAnsi="Arial"/>
          <w:color w:val="1f1f1f"/>
        </w:rPr>
        <w:drawing>
          <wp:inline distB="19050" distT="19050" distL="19050" distR="19050">
            <wp:extent cx="177800" cy="24765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77800" cy="247650"/>
                    </a:xfrm>
                    <a:prstGeom prst="rect"/>
                    <a:ln/>
                  </pic:spPr>
                </pic:pic>
              </a:graphicData>
            </a:graphic>
          </wp:inline>
        </w:drawing>
      </w:r>
      <w:r w:rsidDel="00000000" w:rsidR="00000000" w:rsidRPr="00000000">
        <w:rPr>
          <w:rFonts w:ascii="Arial" w:cs="Arial" w:eastAsia="Arial" w:hAnsi="Arial"/>
          <w:color w:val="1f1f1f"/>
          <w:rtl w:val="0"/>
        </w:rPr>
        <w:t xml:space="preserve"> phản ánh mức độ đóng góp của lát mô đó vào quyết định lâm sàng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95583"/>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05500" cy="79558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công thức trên, </w:t>
      </w:r>
      <w:r w:rsidDel="00000000" w:rsidR="00000000" w:rsidRPr="00000000">
        <w:rPr>
          <w:rFonts w:ascii="Arial" w:cs="Arial" w:eastAsia="Arial" w:hAnsi="Arial"/>
          <w:color w:val="1f1f1f"/>
        </w:rPr>
        <w:drawing>
          <wp:inline distB="19050" distT="19050" distL="19050" distR="19050">
            <wp:extent cx="707330" cy="235777"/>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07330" cy="235777"/>
                    </a:xfrm>
                    <a:prstGeom prst="rect"/>
                    <a:ln/>
                  </pic:spPr>
                </pic:pic>
              </a:graphicData>
            </a:graphic>
          </wp:inline>
        </w:drawing>
      </w:r>
      <w:r w:rsidDel="00000000" w:rsidR="00000000" w:rsidRPr="00000000">
        <w:rPr>
          <w:rFonts w:ascii="Arial" w:cs="Arial" w:eastAsia="Arial" w:hAnsi="Arial"/>
          <w:color w:val="1f1f1f"/>
          <w:rtl w:val="0"/>
        </w:rPr>
        <w:t xml:space="preserve"> là véc-tơ biểu diễn của lát mô </w:t>
      </w:r>
      <w:r w:rsidDel="00000000" w:rsidR="00000000" w:rsidRPr="00000000">
        <w:rPr>
          <w:rFonts w:ascii="Arial" w:cs="Arial" w:eastAsia="Arial" w:hAnsi="Arial"/>
          <w:color w:val="1f1f1f"/>
        </w:rPr>
        <w:drawing>
          <wp:inline distB="19050" distT="19050" distL="19050" distR="19050">
            <wp:extent cx="91877" cy="238879"/>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1877" cy="238879"/>
                    </a:xfrm>
                    <a:prstGeom prst="rect"/>
                    <a:ln/>
                  </pic:spPr>
                </pic:pic>
              </a:graphicData>
            </a:graphic>
          </wp:inline>
        </w:drawing>
      </w:r>
      <w:r w:rsidDel="00000000" w:rsidR="00000000" w:rsidRPr="00000000">
        <w:rPr>
          <w:rFonts w:ascii="Arial" w:cs="Arial" w:eastAsia="Arial" w:hAnsi="Arial"/>
          <w:color w:val="1f1f1f"/>
          <w:rtl w:val="0"/>
        </w:rPr>
        <w:t xml:space="preserve">, các ma trận </w:t>
      </w:r>
      <w:r w:rsidDel="00000000" w:rsidR="00000000" w:rsidRPr="00000000">
        <w:rPr>
          <w:rFonts w:ascii="Arial" w:cs="Arial" w:eastAsia="Arial" w:hAnsi="Arial"/>
          <w:color w:val="1f1f1f"/>
        </w:rPr>
        <w:drawing>
          <wp:inline distB="19050" distT="19050" distL="19050" distR="19050">
            <wp:extent cx="1196578" cy="234251"/>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96578" cy="234251"/>
                    </a:xfrm>
                    <a:prstGeom prst="rect"/>
                    <a:ln/>
                  </pic:spPr>
                </pic:pic>
              </a:graphicData>
            </a:graphic>
          </wp:inline>
        </w:drawing>
      </w:r>
      <w:r w:rsidDel="00000000" w:rsidR="00000000" w:rsidRPr="00000000">
        <w:rPr>
          <w:rFonts w:ascii="Arial" w:cs="Arial" w:eastAsia="Arial" w:hAnsi="Arial"/>
          <w:color w:val="1f1f1f"/>
          <w:rtl w:val="0"/>
        </w:rPr>
        <w:t xml:space="preserve"> và véc-tơ </w:t>
      </w:r>
      <w:r w:rsidDel="00000000" w:rsidR="00000000" w:rsidRPr="00000000">
        <w:rPr>
          <w:rFonts w:ascii="Arial" w:cs="Arial" w:eastAsia="Arial" w:hAnsi="Arial"/>
          <w:color w:val="1f1f1f"/>
        </w:rPr>
        <w:drawing>
          <wp:inline distB="19050" distT="19050" distL="19050" distR="19050">
            <wp:extent cx="704453" cy="234818"/>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04453" cy="234818"/>
                    </a:xfrm>
                    <a:prstGeom prst="rect"/>
                    <a:ln/>
                  </pic:spPr>
                </pic:pic>
              </a:graphicData>
            </a:graphic>
          </wp:inline>
        </w:drawing>
      </w:r>
      <w:r w:rsidDel="00000000" w:rsidR="00000000" w:rsidRPr="00000000">
        <w:rPr>
          <w:rFonts w:ascii="Arial" w:cs="Arial" w:eastAsia="Arial" w:hAnsi="Arial"/>
          <w:color w:val="1f1f1f"/>
          <w:rtl w:val="0"/>
        </w:rPr>
        <w:t xml:space="preserve"> là các tham số học được, trong khi </w:t>
      </w:r>
      <w:r w:rsidDel="00000000" w:rsidR="00000000" w:rsidRPr="00000000">
        <w:rPr>
          <w:rFonts w:ascii="Arial" w:cs="Arial" w:eastAsia="Arial" w:hAnsi="Arial"/>
          <w:color w:val="1f1f1f"/>
        </w:rPr>
        <w:drawing>
          <wp:inline distB="19050" distT="19050" distL="19050" distR="19050">
            <wp:extent cx="152499" cy="235103"/>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52499" cy="235103"/>
                    </a:xfrm>
                    <a:prstGeom prst="rect"/>
                    <a:ln/>
                  </pic:spPr>
                </pic:pic>
              </a:graphicData>
            </a:graphic>
          </wp:inline>
        </w:drawing>
      </w:r>
      <w:r w:rsidDel="00000000" w:rsidR="00000000" w:rsidRPr="00000000">
        <w:rPr>
          <w:rFonts w:ascii="Arial" w:cs="Arial" w:eastAsia="Arial" w:hAnsi="Arial"/>
          <w:color w:val="1f1f1f"/>
          <w:rtl w:val="0"/>
        </w:rPr>
        <w:t xml:space="preserve"> đại diện cho tích phần tử Hadamard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Đột phá của CLAM nằm ở việc tích hợp thêm một hàm mất mát phân cụm không giám sát ở cấp độ thực thể (instance-level clustering loss)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Mô hình chủ động chọn ra các lát mô có điểm chú ý cao nhất và thấp nhất trong một slide để gán nhãn giả định, sau đó ép không gian nhúng phải phân tách rõ rệt các cụm mô bệnh học dương tính và âm tính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Nhờ cơ chế này, bản đồ nhiệt do CLAM tạo ra có khả năng phân biệt sắc nét ranh giới giữa mô u và mô đệm lành tính xung quanh, khắc phục triệt để hiện tượng mô hình học vẹt các đặc trưng giả tạo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HisynSeg và PistoSeg: Phân Vùng Dựa Trên Tổng Hợp Hình Học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Khác biệt với các phương pháp cố gắng làm mịn bản đồ kích hoạt CAM bằng các hàm hậu xử lý phức tạp, các công trình HisynSeg và PistoSeg giải quyết bài toán WSSS bằng tư duy mô phỏng hình học trực quan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Các tác giả nhận định rằng mô bệnh học có tính đồng nhất cao ở các vùng mô nhỏ</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Bằng cách tự động tách các lát cắt chứa thuần nhất một loại mô (như biểu mô ung thư, mô đệm xơ hóa hoặc mô hoại tử), hệ thống sử dụng thuật toán tạo đường phân cách Bézier ngẫu nhiên để ghép các lát mô này lại với nhau</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này tạo ra hàng nghìn mẫu ảnh ghép có sẵn đường ranh giới phân vùng chính xác ở cấp độ điểm ảnh</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Một mạng phân vùng ngữ nghĩa tiêu chuẩn (như DeepLabV3+ với xương sống EfficientNet) sau đó được huấn luyện trực tiếp trên tập dữ liệu mô phỏng này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Đồng thời, các ảnh bệnh học thực tế chưa có nhãn được đưa vào thông qua hàm mất mát điều hòa tính nhất quán đặc trưng (feature consistency regularization) nhằm đảm bảo mô hình không bị quá khớp với các đường cắt ghép nhân tạo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Kết quả thử nghiệm chứng minh phương pháp này vượt qua các thuật toán WSSS truyền thống và thu hẹp đáng kể khoảng cách hiệu năng với các mô hình học có giám sát đầy đủ</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EP-SAM: Tinh Chỉnh Mô Hình Phân Vùng Đa Năng Với Bộ Nhớ Tối Thiểu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Công trình EP-SAM (Enhanced Prompt Segment Anything Model) mang lại giải pháp đột phá trong việc tận dụng mô hình nền tảng thị giác tổng quát SAM cho phân vùng mô bệnh học giám sát yếu</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Mô hình SAM vốn sở hữu khả năng nhận diện đường viền vật thể chính xác nhưng thiếu hiểu biết chuyên sâu về mặt ngữ nghĩa bệnh học</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EP-SAM giải quyết vấn đề bằng cách dùng các tín hiệu kích hoạt từ mô hình học giám sát yếu để tự động tạo ra các điểm gợi ý (point prompts) và khung gợi ý (box prompts) đưa vào SAM</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Toàn bộ mạng SAM gốc được giữ cố định trọng số, chỉ có các bộ điều hợp ngữ nghĩa trọng lượng nhẹ (lightweight adapters) được cập nhật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Kiến trúc thông minh này cho phép thực thi toàn bộ quy trình huấn luyện phân vùng WSI phức tạp chỉ với 12 GB bộ nhớ GPU, tạo điều kiện thuận lợi cho việc nghiên cứu trên phần cứng máy trạm phổ thông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trình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Năm công bố</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Nguyên lý cốt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Tài nguyên phần cứng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Ưu điểm vượt trội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Chú ý có cổng kết hợp ràng buộc phân cụm đa thực thể</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 GPU thông thường (Chạy trên đặc trưng nhúng)</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Mã nguồn hoàn thiện, bản đồ nhiệt trực quan, phân tách ranh giới rõ ràng</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HisynSeg / PistoSeg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Tạo ảnh ghép Mosaic/Bézier biến bài toán WSL thành có giám sát</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GPU tầm trung (Huấn luyện DeepLabV3+)</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vùng đa thành phần vi môi trường u mà không phụ thuộc CAM thô</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EP-SAM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Dùng tín hiệu giám sát yếu làm Prompt tự động điều hướng SAM</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Tối thiểu 12 GB VRAM GPU</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Ranh giới phân vùng sắc nét, chuyển giao tri thức từ SAM xuất sắc</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SSHR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Hiệu chỉnh phân cấp đơn giai đoạn (Single-stage rectification)</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GPU thông thường</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Rút ngắn thời gian huấn luyện từ 2 đến 5 lần so với WSSS hai giai đoạn</w:t>
            </w:r>
            <w:r w:rsidDel="00000000" w:rsidR="00000000" w:rsidRPr="00000000">
              <w:rPr>
                <w:rFonts w:ascii="Arial" w:cs="Arial" w:eastAsia="Arial" w:hAnsi="Arial"/>
                <w:color w:val="444746"/>
                <w:sz w:val="24"/>
                <w:szCs w:val="24"/>
                <w:vertAlign w:val="superscript"/>
                <w:rtl w:val="0"/>
              </w:rPr>
              <w:t xml:space="preserve">23</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 Dữ Liệu Mở và Khung Mã Nguồn Nền Tảng Khởi Đầu</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triển khai đồ án thành công trong thời gian ngắn mà không tiêu tốn tài nguyên tải và xử lý hàng terabyte dữ liệu ảnh thô, các nhóm nghiên cứu nên khai thác các bộ dữ liệu đối sánh đã được tiền trích xuất đặc trưng bởi cộng đồng khoa học quốc tế.</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CAMELYON16: Bộ Dữ Liệu Đối Sánh Chuẩn Cho Phát Hiện Di Căn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CAMELYON16 là tập dữ liệu kinh điển và bắt buộc phải có trong các nghiên cứu giải phẫu bệnh tính toán, bao gồm 399 tiêu bản mô hạch bạch huyết nhuộm H&amp;E từ các bệnh nhân ung thư vú được quét ở độ phóng đại </w:t>
      </w:r>
      <w:r w:rsidDel="00000000" w:rsidR="00000000" w:rsidRPr="00000000">
        <w:rPr>
          <w:rFonts w:ascii="Arial" w:cs="Arial" w:eastAsia="Arial" w:hAnsi="Arial"/>
          <w:color w:val="1f1f1f"/>
        </w:rPr>
        <w:drawing>
          <wp:inline distB="19050" distT="19050" distL="19050" distR="19050">
            <wp:extent cx="348456" cy="234416"/>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456" cy="234416"/>
                    </a:xfrm>
                    <a:prstGeom prst="rect"/>
                    <a:ln/>
                  </pic:spPr>
                </pic:pic>
              </a:graphicData>
            </a:graphic>
          </wp:inline>
        </w:drawing>
      </w:r>
      <w:r w:rsidDel="00000000" w:rsidR="00000000" w:rsidRPr="00000000">
        <w:rPr>
          <w:rFonts w:ascii="Arial" w:cs="Arial" w:eastAsia="Arial" w:hAnsi="Arial"/>
          <w:color w:val="1f1f1f"/>
          <w:rtl w:val="0"/>
        </w:rPr>
        <w:t xml:space="preserve"> tại Trung tâm Y tế Đại học Radboud và Trung tâm Y tế Đại học Utrecht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Đặc tính y khoa của bộ dữ liệu này mang tính thử thách cao: nhiều tiêu bản dương tính chỉ chứa các ổ vi di căn (micrometastases) chiếm diện tích dưới 1% tổng thể tích mô của lát cắt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Điểm thuận lợi đặc biệt cho nghiên cứu giám sát yếu là tập dữ liệu cung cấp nhãn chẩn đoán nhị phân cấp tiêu bản cho quá trình huấn luyện, đồng thời đi kèm mặt nạ ranh giới tổn thương cấp pixel được vẽ tỉ mỉ bởi các chuyên gia giải phẫu bệnh</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Điều này cho phép nhóm nghiên cứu huấn luyện mô hình bằng nhãn yếu nhưng có thể đánh giá mức độ chính xác của phân vùng thông qua chỉ số diện tích dưới đường cong ROC mức pixel (Pixel-level AUC) và đường cong FROC (Free-response ROC)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Hiện nay, kho lưu trữ Hugging Face và thư viện mã nguồn mở torchmil đã chia sẻ sẵn toàn bộ tập véc-tơ đặc trưng nhúng của CAMELYON16 trích xuất bởi mô hình nền tảng UNI (kaczmarj/camelyon16-uni, dung lượng 17,3 GB), cho phép nạp trực tiếp vào mô hình huấn luyện mà không cần tải hàng trăm gigabyte ảnh gốc</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Phân Nhóm Tiêu Biểu Từ The Cancer Genome Atlas (TCGA)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 lưu trữ ung thư học The Cancer Genome Atlas cung cấp hàng chục nghìn tiêu bản mô bệnh học mở từ nhiều vị trí giải phẫu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Hai bài toán phân loại phân nhóm mô học tiêu chuẩn thường được lựa chọn trong các đồ án gồm:</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TCGA-NSCLC (Non-Small Cell Lung Cancer):</w:t>
      </w:r>
      <w:r w:rsidDel="00000000" w:rsidR="00000000" w:rsidRPr="00000000">
        <w:rPr>
          <w:rFonts w:ascii="Arial" w:cs="Arial" w:eastAsia="Arial" w:hAnsi="Arial"/>
          <w:color w:val="1f1f1f"/>
          <w:rtl w:val="0"/>
        </w:rPr>
        <w:t xml:space="preserve"> Phân loại phân nhóm ung thư phổi giữa Ung thư biểu mô tuyến (Lung Adenocarcinoma - LUAD) và Ung thư biểu mô tế bào vảy (Lung Squamous Cell Carcinoma - LUSC)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TCGA-RCC (Renal Cell Carcinoma):</w:t>
      </w:r>
      <w:r w:rsidDel="00000000" w:rsidR="00000000" w:rsidRPr="00000000">
        <w:rPr>
          <w:rFonts w:ascii="Arial" w:cs="Arial" w:eastAsia="Arial" w:hAnsi="Arial"/>
          <w:color w:val="1f1f1f"/>
          <w:rtl w:val="0"/>
        </w:rPr>
        <w:t xml:space="preserve"> Phân loại ba phân nhóm ung thư biểu mô tế bào thận gồm thể tế bào trong (KIRC), thể nhú (KIRP), và thể kỵ màu (KICH)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Cả hai bài toán trên đều có sẵn quy trình xử lý và bộ đặc trưng trích xuất chuẩn trong kho mã nguồn của dự án CLAM và gói mở rộng Phikon từ Owkin, giúp nhóm nghiên cứu dễ dàng tái lập kết quả cơ sở chỉ sau vài lệnh thực thi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WSSS4LUAD và BCSS: Chuyên Biệt Cho Phân Vùng Vi Môi Trường Khối 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định hướng nghiên cứu yêu cầu phân vùng đa lớp phức tạp trong vi môi trường khối u thay vì bài toán nhị phân, hai tập dữ liệu sau là lựa chọn tối ưu:</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WSSS4LUAD:</w:t>
      </w:r>
      <w:r w:rsidDel="00000000" w:rsidR="00000000" w:rsidRPr="00000000">
        <w:rPr>
          <w:rFonts w:ascii="Arial" w:cs="Arial" w:eastAsia="Arial" w:hAnsi="Arial"/>
          <w:color w:val="1f1f1f"/>
          <w:rtl w:val="0"/>
        </w:rPr>
        <w:t xml:space="preserve"> Bộ dữ liệu giải đấu chuyên biệt về phân vùng ngữ nghĩa giám sát yếu trên ung thư biểu mô tuyến ở phổi, cung cấp các mảng mô lớn với nhãn phân loại đa lớp (biểu mô ung thư, mô đệm liên kết và mô hoại tử) phục vụ việc tinh chỉnh mặt nạ giả định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BCSS (Breast Cancer Semantic Segmentation):</w:t>
      </w:r>
      <w:r w:rsidDel="00000000" w:rsidR="00000000" w:rsidRPr="00000000">
        <w:rPr>
          <w:rFonts w:ascii="Arial" w:cs="Arial" w:eastAsia="Arial" w:hAnsi="Arial"/>
          <w:color w:val="1f1f1f"/>
          <w:rtl w:val="0"/>
        </w:rPr>
        <w:t xml:space="preserve"> Tập dữ liệu phân vùng mô bệnh học ung thư vú chi tiết với các nhãn phân đoạn vi môi trường u hoàn chỉnh, thường được sử dụng làm chuẩn đối sánh đánh giá năng lực tái tạo ranh giới mô của các mô hình WSSS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Bộ dữ liệu / Tài nguyên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Loại mô bệnh học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Nhiệm vụ khoa học chính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Kích thước &amp; Trạng thái dữ liệu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Nguồn trích xuất đặc trưng có sẵn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CAMELYON16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8,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Hạch bạch huyết ung thư vú</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Phát hiện di căn, định vị ổ vi di căn</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399 WSI; có sẵn nhãn pixel kiểm thử</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Hugging Face (camelyon16-uni) / torchmil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24,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TCGA-NSCLC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Mô sinh thiết phổi (FFPE)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loại phân nhóm phụ LUAD vs LUSC</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&gt;1.000 WSI; nhãn chẩn đoán cấp tiêu bản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Tích hợp trong CLAM / HistoSSLscaling</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TCGA-RCC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Mô ung thư thận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loại 3 phân nhóm KIRC, KIRP, KICH</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&gt;800 WSI; nhãn giải phẫu bệnh học</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Tích hợp trong cấu hình mẫu của CLAM</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WSSS4LUAD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Ung thư biểu mô tuyến ở phổi</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vùng đa cấu trúc vi môi trường u</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Hàng nghìn mảng mô; nhãn yếu kèm test pixel</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Mã nguồn và dữ liệu từ ban tổ chức Grand Challenge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BCSS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Mô học ung thư vú</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vùng ngữ nghĩa chất đệm, hoại tử, biểu mô</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151 vùng quan tâm (ROI) WSI gán nhãn chi tiết</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GitHub PistoSeg / HisynSeg</w:t>
            </w:r>
            <w:r w:rsidDel="00000000" w:rsidR="00000000" w:rsidRPr="00000000">
              <w:rPr>
                <w:rFonts w:ascii="Arial" w:cs="Arial" w:eastAsia="Arial" w:hAnsi="Arial"/>
                <w:color w:val="444746"/>
                <w:sz w:val="24"/>
                <w:szCs w:val="24"/>
                <w:vertAlign w:val="superscript"/>
                <w:rtl w:val="0"/>
              </w:rPr>
              <w:t xml:space="preserve">17</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Phần Mềm Và Các Tính Năng Được Đánh Giá Cao Trong Lâm Sàng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thuật toán đạt chỉ số AUC cao trong môi trường thử nghiệm vẫn có thể thất bại khi ứng dụng vào thực tế nếu không tương thích với quy trình chẩn đoán của khoa Giải phẫu bệnh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Các bác sĩ chuyên khoa làm việc dưới áp lực thời gian lớn và đối mặt với trách nhiệm pháp lý cao đối với từng kết luận vi thể</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Việc thiết kế phần mềm cần tập trung vào các chức năng tối ưu hóa thời gian và cung cấp thông tin định lượng khách quan.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Sàng Lọc và Phân Luồng Ca Bệnh Tự Động (AI Triage &amp; Prioritization)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ca làm việc điển hình, một bác sĩ giải phẫu bệnh phải xử lý từ 50 đến hơn 100 ca xét nghiệm, trong đó phần lớn là các mẫu sinh thiết định kỳ âm tính hoặc lành tính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Tính năng phân luồng tự động hoạt động ngầm ngay khi tiêu bản được máy quét tải lên máy chủ lưu trữ hình ảnh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Mô hình học giám sát yếu thực hiện suy luận nhanh để tính toán xác suất ác tính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Các ca bệnh có nguy cơ cao hoặc phát hiện thấy tổn thương nghi ngờ di căn sẽ được tự động đẩy lên đầu danh sách hàng đợi (worklist)</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Điều này giúp bệnh nhân có tiên lượng nặng được chẩn đoán sớm hơn, đồng thời hệ thống đóng vai trò như một mắt đọc độc lập thứ hai (second-read support) giúp giảm thiểu sai sót do quá tải thị giác</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Kiểm Soát Chất Lượng Ảnh Tiền Phân Tích (Pre-analytic Quality Control)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5% đến 20% tiêu bản số hóa gặp phải các lỗi kỹ thuật trong quy trình nhuộm hoặc quét ảnh, bao gồm nếp gấp mô, bọt khí dưới lá kính (coverslip), dị vật bám trên tiêu bản và các vùng mô bị mất nét (out-of-focus)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Nếu không được kiểm soát, các vùng ảnh lỗi này có thể khiến mô hình AI nhận diện sai lệch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Phần mềm lâm sàng tiêu chuẩn tích hợp các công cụ tự động như HistoQC ngay tại cổng tiếp nhận dữ liệu</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Tiêu bản không đạt chuẩn chất lượng sẽ bị gắn cờ cảnh báo và chuyển lại cho kỹ thuật viên phòng xét nghiệm để lau chùi hoặc quét lại trước khi chuyển tới bàn làm việc của bác sĩ</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Hiển Thị Đa Độ Phân Giải Và Lớp Phủ Bản Đồ Chú Ý Tương Tác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Bác sĩ giải phẫu bệnh đưa ra kết luận dựa trên việc đối chiếu hình thái nhân và liên kết mô học, do đó mô hình AI bắt buộc phải cung cấp bằng chứng trực quan minh bạch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Về mặt kỹ thuật phần mềm, việc hiển thị ảnh gigapixel đòi hỏi hệ thống xây dựng cấu trúc kim tự tháp hình ảnh (Image Pyramid) với định dạng Deep Zoom Image (DZI) hoặc OME-TIFF</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Phía máy trạm sử dụng thư viện trình xem OpenSeadragon tương tác với máy chủ thông qua giao diện lập trình ứng dụng viết bằng FastAPI và thư viện chuyên dụng OpenSlide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Hệ thống phân chia tiêu bản thành các mảnh nhỏ kích thước </w:t>
      </w:r>
      <w:r w:rsidDel="00000000" w:rsidR="00000000" w:rsidRPr="00000000">
        <w:rPr>
          <w:rFonts w:ascii="Arial" w:cs="Arial" w:eastAsia="Arial" w:hAnsi="Arial"/>
          <w:color w:val="1f1f1f"/>
        </w:rPr>
        <w:drawing>
          <wp:inline distB="19050" distT="19050" distL="19050" distR="19050">
            <wp:extent cx="827187" cy="235430"/>
            <wp:effectExtent b="0" l="0" r="0" t="0"/>
            <wp:docPr id="2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 pixel và chỉ nạp đúng tọa độ cùng mức thu phóng mà bác sĩ đang quan sát</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Lớp phủ bản đồ chú ý (Attention Heatmap) từ mô hình MIL hoặc mặt nạ phân vùng WSSS được hiển thị dưới dạng một lớp phủ bán trong suốt (alpha overlay) đè lên cấu trúc nhuộm H&amp;E gốc</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Phần mềm cần trang bị thanh trượt độ trong suốt tức thời (alpha blending slider) để bác sĩ có thể bật/tắt lớp chỉ báo AI trong tích tắc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Khi nghi ngờ một ổ vi di căn, bác sĩ có thể phóng to trực tiếp lên vật kính </w:t>
      </w:r>
      <w:r w:rsidDel="00000000" w:rsidR="00000000" w:rsidRPr="00000000">
        <w:rPr>
          <w:rFonts w:ascii="Arial" w:cs="Arial" w:eastAsia="Arial" w:hAnsi="Arial"/>
          <w:color w:val="1f1f1f"/>
        </w:rPr>
        <w:drawing>
          <wp:inline distB="19050" distT="19050" distL="19050" distR="19050">
            <wp:extent cx="348456" cy="234416"/>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456" cy="234416"/>
                    </a:xfrm>
                    <a:prstGeom prst="rect"/>
                    <a:ln/>
                  </pic:spPr>
                </pic:pic>
              </a:graphicData>
            </a:graphic>
          </wp:inline>
        </w:drawing>
      </w:r>
      <w:r w:rsidDel="00000000" w:rsidR="00000000" w:rsidRPr="00000000">
        <w:rPr>
          <w:rFonts w:ascii="Arial" w:cs="Arial" w:eastAsia="Arial" w:hAnsi="Arial"/>
          <w:color w:val="1f1f1f"/>
          <w:rtl w:val="0"/>
        </w:rPr>
        <w:t xml:space="preserve"> tại đúng tọa độ AI gợi ý để quan sát chi tiết nhân quái, tỷ lệ nhân trên nguyên sinh chất và các phân bào bất thường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Đo Lường Định Lượng Tải Lượng Khối U (Quantitative Burden Metrics)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Chẩn đoán ung thư hiện đại đòi hỏi các thông số định lượng chính xác phục vụ xếp giai đoạn bệnh theo hệ thống TNM của Ủy ban Liên hợp Ung thư Hoa Kỳ (AJCC)</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Thay vì để bác sĩ tự ước lượng diện tích u bằng mắt hoặc đo thủ công bằng các công cụ thước đo thô sơ, phần mềm AI tự động tính toán tổng diện tích khối u (</w:t>
      </w:r>
      <w:r w:rsidDel="00000000" w:rsidR="00000000" w:rsidRPr="00000000">
        <w:rPr>
          <w:rFonts w:ascii="Arial" w:cs="Arial" w:eastAsia="Arial" w:hAnsi="Arial"/>
          <w:color w:val="1f1f1f"/>
        </w:rPr>
        <w:drawing>
          <wp:inline distB="19050" distT="19050" distL="19050" distR="19050">
            <wp:extent cx="422375" cy="249585"/>
            <wp:effectExtent b="0" l="0" r="0" t="0"/>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2375" cy="249585"/>
                    </a:xfrm>
                    <a:prstGeom prst="rect"/>
                    <a:ln/>
                  </pic:spPr>
                </pic:pic>
              </a:graphicData>
            </a:graphic>
          </wp:inline>
        </w:drawing>
      </w:r>
      <w:r w:rsidDel="00000000" w:rsidR="00000000" w:rsidRPr="00000000">
        <w:rPr>
          <w:rFonts w:ascii="Arial" w:cs="Arial" w:eastAsia="Arial" w:hAnsi="Arial"/>
          <w:color w:val="1f1f1f"/>
          <w:rtl w:val="0"/>
        </w:rPr>
        <w:t xml:space="preserve">), tỷ lệ phần trăm mô ung thư trên tổng diện tích lát cắt, và đường kính lớn nhất của ổ xâm lấn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Trong bài toán ung thư vú di căn hạch, hệ thống tự động phân loại kích thước tổn thương thành đại di căn (macrometastasis, </w:t>
      </w:r>
      <w:r w:rsidDel="00000000" w:rsidR="00000000" w:rsidRPr="00000000">
        <w:rPr>
          <w:rFonts w:ascii="Arial" w:cs="Arial" w:eastAsia="Arial" w:hAnsi="Arial"/>
          <w:color w:val="1f1f1f"/>
        </w:rPr>
        <w:drawing>
          <wp:inline distB="19050" distT="19050" distL="19050" distR="19050">
            <wp:extent cx="304899" cy="235026"/>
            <wp:effectExtent b="0" l="0" r="0" t="0"/>
            <wp:docPr id="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4899" cy="235026"/>
                    </a:xfrm>
                    <a:prstGeom prst="rect"/>
                    <a:ln/>
                  </pic:spPr>
                </pic:pic>
              </a:graphicData>
            </a:graphic>
          </wp:inline>
        </w:drawing>
      </w:r>
      <w:r w:rsidDel="00000000" w:rsidR="00000000" w:rsidRPr="00000000">
        <w:rPr>
          <w:rFonts w:ascii="Arial" w:cs="Arial" w:eastAsia="Arial" w:hAnsi="Arial"/>
          <w:color w:val="1f1f1f"/>
          <w:rtl w:val="0"/>
        </w:rPr>
        <w:t xml:space="preserve"> mm), vi di căn (micrometastasis, </w:t>
      </w:r>
      <w:r w:rsidDel="00000000" w:rsidR="00000000" w:rsidRPr="00000000">
        <w:rPr>
          <w:rFonts w:ascii="Arial" w:cs="Arial" w:eastAsia="Arial" w:hAnsi="Arial"/>
          <w:color w:val="1f1f1f"/>
        </w:rPr>
        <w:drawing>
          <wp:inline distB="19050" distT="19050" distL="19050" distR="19050">
            <wp:extent cx="620613" cy="236729"/>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20613" cy="236729"/>
                    </a:xfrm>
                    <a:prstGeom prst="rect"/>
                    <a:ln/>
                  </pic:spPr>
                </pic:pic>
              </a:graphicData>
            </a:graphic>
          </wp:inline>
        </w:drawing>
      </w:r>
      <w:r w:rsidDel="00000000" w:rsidR="00000000" w:rsidRPr="00000000">
        <w:rPr>
          <w:rFonts w:ascii="Arial" w:cs="Arial" w:eastAsia="Arial" w:hAnsi="Arial"/>
          <w:color w:val="1f1f1f"/>
          <w:rtl w:val="0"/>
        </w:rPr>
        <w:t xml:space="preserve"> mm) hoặc tế bào u biệt lập (isolated tumor cells - ITC, </w:t>
      </w:r>
      <w:r w:rsidDel="00000000" w:rsidR="00000000" w:rsidRPr="00000000">
        <w:rPr>
          <w:rFonts w:ascii="Arial" w:cs="Arial" w:eastAsia="Arial" w:hAnsi="Arial"/>
          <w:color w:val="1f1f1f"/>
        </w:rPr>
        <w:drawing>
          <wp:inline distB="19050" distT="19050" distL="19050" distR="19050">
            <wp:extent cx="490041" cy="238573"/>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90041" cy="238573"/>
                    </a:xfrm>
                    <a:prstGeom prst="rect"/>
                    <a:ln/>
                  </pic:spPr>
                </pic:pic>
              </a:graphicData>
            </a:graphic>
          </wp:inline>
        </w:drawing>
      </w:r>
      <w:r w:rsidDel="00000000" w:rsidR="00000000" w:rsidRPr="00000000">
        <w:rPr>
          <w:rFonts w:ascii="Arial" w:cs="Arial" w:eastAsia="Arial" w:hAnsi="Arial"/>
          <w:color w:val="1f1f1f"/>
          <w:rtl w:val="0"/>
        </w:rPr>
        <w:t xml:space="preserve"> mm)</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Việc cung cấp các chỉ số khách quan này giúp chuẩn hóa biên bản chẩn đoán và giảm bớt thời gian tính toán thủ công</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Tiêu Chuẩn Thẩm Định Lâm Sàng Theo Hướng Dẫn CAP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một công trình phần mềm y tế được giới chuyên môn công nhận và chuẩn bị cho quá trình thử nghiệm lâm sàng, quy trình thẩm định cần tuân thủ Hướng dẫn Thẩm định WSI của Hội Bác sĩ Giải phẫu bệnh Hoa Kỳ (College of American Pathologists - CAP Guidelines)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 khuyến cáo cập nhật của CAP, tập dữ liệu thẩm định độc lập phải bao gồm tối thiểu 60 ca bệnh phản ánh đầy đủ phổ bệnh học dự kiến triển khai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Độ tương đồng chẩn đoán (diagnostic concordance) giữa phương pháp đọc trên ảnh số có AI hỗ trợ và phương pháp đọc truyền thống qua kính hiển vi quang học phải đạt từ 95% trở lên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Mọi trường hợp sai lệch dưới 95% đều bắt buộc phải tiến hành phân tích nguyên nhân kỹ thuật hoặc lỗi nhận định lâm sàng</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Đồng thời, để loại bỏ hiệu ứng thiên lệch do trí nhớ của chuyên gia khi tham gia thử nghiệm đối chứng, nghiên cứu phải thiết lập một khoảng thời gian rửa trôi (washout period) kéo dài ít nhất 2 tuần giữa các lần đọc cùng một ca bệnh trên hai phương thức khác nhau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Thành phần phần mềm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Vai trò trong quy trình lâm sàng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nghệ triển khai khuyến nghị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Lợi ích đối với bác sĩ giải phẫu bệnh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Hệ thống tiền lọc QC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Loại bỏ tiêu bản mờ, bọt khí, lỗi mô gấp trước chẩn đoán</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HistoQC, Python OpenCV, lọc màu HSV</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Tránh gián đoạn mạch đọc, giảm thiểu sai sót do ảnh hỏng</w:t>
            </w:r>
            <w:r w:rsidDel="00000000" w:rsidR="00000000" w:rsidRPr="00000000">
              <w:rPr>
                <w:rFonts w:ascii="Arial" w:cs="Arial" w:eastAsia="Arial" w:hAnsi="Arial"/>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luồng ca bệnh (Triage)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Ưu tiên các ca nguy cơ cao hoặc chứa vi tổn thương lên đầu hàng đợi</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Bộ phân loại MIL nhẹ (CLAM/AB-MIL)</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Giảm thời gian chờ đợi cho bệnh nhân nặng, hạn chế bỏ sót</w:t>
            </w:r>
            <w:r w:rsidDel="00000000" w:rsidR="00000000" w:rsidRPr="00000000">
              <w:rPr>
                <w:rFonts w:ascii="Arial" w:cs="Arial" w:eastAsia="Arial" w:hAnsi="Arial"/>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Trình xem Gigapixel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Hiển thị mượt mà tiêu bản phóng đại cao không có độ trễ</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OpenSeadragon, FastAPI, OpenSlide, Libvips</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Tái lập cảm giác điều khiển tương đương kính hiển vi quang học</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Lớp phủ bản đồ chú 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Trực quan hóa tọa độ nghi ngờ kèm thanh trượt độ mờ</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WebGL Canvas Overlay, Shader colormap</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Minh bạch hóa cơ chế AI, định hướng tập trung thị giác nhanh</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Mô-đun định lượng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Tính diện tích u, kích thước ổ di căn và tải lượng mô bệnh</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Phép toán hình học điểm ảnh, tích phân diện tích mô</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Tự động hóa xếp giai đoạn TNM, chuẩn hóa biên bản giải phẫu</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Lộ Trình Triển Khai Đồ Án Nghiên Cứu Khả Thi</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đồ án nghiên cứu thành công đòi hỏi sự cân bằng giữa tính mới về mặt giải thuật và độ hoàn thiện về mặt kỹ thuật phần mềm. Nhóm nghiên cứu có thể chia quy trình triển khai thành bốn giai đoạn tuần tự, tận dụng tối đa các tài nguyên mở và hạ tầng tính toán sẵn có:</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đầu tiên tập trung vào việc thiết lập dữ liệu nền tảng và môi trường lập trình. Thay vì tải toàn bộ kho dữ liệu ảnh WSI thô, nhóm nghiên cứu tải tập đặc trưng trích xuất sẵn của bộ dữ liệu CAMELYON16 bằng mô hình nền tảng UNI từ Hugging Face hoặc thư viện torchmil</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Đồng thời, lưu trữ một vài tệp WSI gốc định dạng .svs để phục vụ xây dựng giao diện hiển thị kim tự tháp ảnh</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Môi trường làm việc được thiết lập chuẩn hóa với PyTorch, OpenSlide-Python, Py-vips và FastAPI</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thứ hai dành cho việc phát triển và hoàn thiện lõi thuật toán AI. Nhóm nghiên cứu triển khai mô hình cơ sở CLAM hoặc AB-MIL trên tập đặc trưng có sẵn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Đóng góp khoa học của đồ án có thể được mở rộng thông qua việc tích hợp cơ chế tổng hợp hình học Mosaic/Bézier từ PistoSeg hoặc xây dựng hàm mất mát điều hòa chú ý phản thực tế (counterfactual attention regularization) để tinh chỉnh độ sắc nét của ranh giới tổn thương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Hiệu năng của thuật toán được đo lường bằng hai tiêu chí: chỉ số AUC cấp tiêu bản cho bài toán chẩn đoán và chỉ số FROC hoặc Pixel-AUC đối chiếu với nhãn ranh giới pixel có sẵn của tập kiểm thử CAMELYON16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thứ ba chuyển dịch sang kỹ thuật phần mềm với việc xây dựng một nguyên mẫu ứng dụng hoàn chỉnh. Máy chủ dịch vụ (Backend) sử dụng FastAPI cung cấp các điểm cuối phục vụ ảnh gạch DZI (/tile/{z}/{x}/{y}.png) từ tệp WSI gốc và một điểm cuối trả về ma trận trọng số nhiệt của mô hình</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Giao diện người dùng (Frontend) được phát triển bằng React hoặc Vue tích hợp OpenSeadragon, xây dựng đầy đủ thanh danh sách ca bệnh phân luồng theo độ nguy cơ, cửa sổ kính hiển vi số đa độ phóng đại, thanh trượt alpha blending cho lớp phủ nhiệt và bảng tóm tắt diện tích tải lượng khối u</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cuối cùng là kiểm thử và thẩm định thực nghiệm. Hệ thống được đo lường thời gian đáp ứng (latency) trong các thao tác nạp ảnh và suy luận AI, hướng tới mục tiêu thời gian xử lý dưới 1 giây cho mỗi tiêu bản khi đã có ma trận đặc trưng. Kết quả nghiên cứu và giao diện phần mềm được đóng gói thành báo cáo khoa học hoàn chỉnh, đối chiếu các tiêu chí tương đồng chẩn đoán dựa trên khung hướng dẫn của Hội Bác sĩ Giải phẫu bệnh Hoa Kỳ nhằm khẳng định giá trị thực tiễn của công trình trước hội đồng chuyên môn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WSSS4LUAD: Grand Challenge on Weakly-supervised Tissue, </w:t>
      </w:r>
      <w:hyperlink r:id="rId25">
        <w:r w:rsidDel="00000000" w:rsidR="00000000" w:rsidRPr="00000000">
          <w:rPr>
            <w:rFonts w:ascii="Arial" w:cs="Arial" w:eastAsia="Arial" w:hAnsi="Arial"/>
            <w:color w:val="0000ee"/>
            <w:sz w:val="24"/>
            <w:szCs w:val="24"/>
            <w:u w:val="single"/>
            <w:rtl w:val="0"/>
          </w:rPr>
          <w:t xml:space="preserve">https://arxiv.org/html/2204.06455v2</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Validation of Whole Slide Imaging Diagnosis for Breast Core Needle, </w:t>
      </w:r>
      <w:hyperlink r:id="rId26">
        <w:r w:rsidDel="00000000" w:rsidR="00000000" w:rsidRPr="00000000">
          <w:rPr>
            <w:rFonts w:ascii="Arial" w:cs="Arial" w:eastAsia="Arial" w:hAnsi="Arial"/>
            <w:color w:val="0000ee"/>
            <w:sz w:val="24"/>
            <w:szCs w:val="24"/>
            <w:u w:val="single"/>
            <w:rtl w:val="0"/>
          </w:rPr>
          <w:t xml:space="preserve">http://www.jmatonline.com/PDF/109-PB-353-364-03887.pdf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Self-Supervised Learning for Histopathology with Masked, </w:t>
      </w:r>
      <w:hyperlink r:id="rId27">
        <w:r w:rsidDel="00000000" w:rsidR="00000000" w:rsidRPr="00000000">
          <w:rPr>
            <w:rFonts w:ascii="Arial" w:cs="Arial" w:eastAsia="Arial" w:hAnsi="Arial"/>
            <w:color w:val="0000ee"/>
            <w:sz w:val="24"/>
            <w:szCs w:val="24"/>
            <w:u w:val="single"/>
            <w:rtl w:val="0"/>
          </w:rPr>
          <w:t xml:space="preserve">https://www.medrxiv.org/content/10.1101/2023.07.21.23292757v1.full.pdf</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arXiv:2004.05024v4 [eess.IV] 11 May 2021, </w:t>
      </w:r>
      <w:hyperlink r:id="rId28">
        <w:r w:rsidDel="00000000" w:rsidR="00000000" w:rsidRPr="00000000">
          <w:rPr>
            <w:rFonts w:ascii="Arial" w:cs="Arial" w:eastAsia="Arial" w:hAnsi="Arial"/>
            <w:color w:val="0000ee"/>
            <w:sz w:val="24"/>
            <w:szCs w:val="24"/>
            <w:u w:val="single"/>
            <w:rtl w:val="0"/>
          </w:rPr>
          <w:t xml:space="preserve">https://arxiv.org/pdf/2004.05024</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Transformer based multiple instance learning for weakly supervised, </w:t>
      </w:r>
      <w:hyperlink r:id="rId29">
        <w:r w:rsidDel="00000000" w:rsidR="00000000" w:rsidRPr="00000000">
          <w:rPr>
            <w:rFonts w:ascii="Arial" w:cs="Arial" w:eastAsia="Arial" w:hAnsi="Arial"/>
            <w:color w:val="0000ee"/>
            <w:sz w:val="24"/>
            <w:szCs w:val="24"/>
            <w:u w:val="single"/>
            <w:rtl w:val="0"/>
          </w:rPr>
          <w:t xml:space="preserve">https://arxiv.org/html/2205.08878v1</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Data Efficient and Weakly Supervised Computational, </w:t>
      </w:r>
      <w:hyperlink r:id="rId30">
        <w:r w:rsidDel="00000000" w:rsidR="00000000" w:rsidRPr="00000000">
          <w:rPr>
            <w:rFonts w:ascii="Arial" w:cs="Arial" w:eastAsia="Arial" w:hAnsi="Arial"/>
            <w:color w:val="0000ee"/>
            <w:sz w:val="24"/>
            <w:szCs w:val="24"/>
            <w:u w:val="single"/>
            <w:rtl w:val="0"/>
          </w:rPr>
          <w:t xml:space="preserve">https://www.researchgate.net/publication/340826474_Data_Efficient_and_Weakly_Supervised_Computational_Pathology_on_Whole_Slide_Images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mahmoodlab/CLAM: Open source tools for computational pathology, </w:t>
      </w:r>
      <w:hyperlink r:id="rId31">
        <w:r w:rsidDel="00000000" w:rsidR="00000000" w:rsidRPr="00000000">
          <w:rPr>
            <w:rFonts w:ascii="Arial" w:cs="Arial" w:eastAsia="Arial" w:hAnsi="Arial"/>
            <w:color w:val="0000ee"/>
            <w:sz w:val="24"/>
            <w:szCs w:val="24"/>
            <w:u w:val="single"/>
            <w:rtl w:val="0"/>
          </w:rPr>
          <w:t xml:space="preserve">https://github.com/mahmoodlab/clam</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Re-Embedding: Towards Foundation Model-Level ... - arXiv, </w:t>
      </w:r>
      <w:hyperlink r:id="rId32">
        <w:r w:rsidDel="00000000" w:rsidR="00000000" w:rsidRPr="00000000">
          <w:rPr>
            <w:rFonts w:ascii="Arial" w:cs="Arial" w:eastAsia="Arial" w:hAnsi="Arial"/>
            <w:color w:val="0000ee"/>
            <w:sz w:val="24"/>
            <w:szCs w:val="24"/>
            <w:u w:val="single"/>
            <w:rtl w:val="0"/>
          </w:rPr>
          <w:t xml:space="preserve">https://arxiv.org/html/2402.17228v4</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RETHINKING MULTIPLE-INSTANCE LEARNING FROM FEATURE, </w:t>
      </w:r>
      <w:hyperlink r:id="rId33">
        <w:r w:rsidDel="00000000" w:rsidR="00000000" w:rsidRPr="00000000">
          <w:rPr>
            <w:rFonts w:ascii="Arial" w:cs="Arial" w:eastAsia="Arial" w:hAnsi="Arial"/>
            <w:color w:val="0000ee"/>
            <w:sz w:val="24"/>
            <w:szCs w:val="24"/>
            <w:u w:val="single"/>
            <w:rtl w:val="0"/>
          </w:rPr>
          <w:t xml:space="preserve">https://proceedings.iclr.cc/paper_files/paper/2025/file/463a91da3c832bd28912cd0d1b8d9974-Paper-Conference.pdf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Pathology Foundation Models - arXiv, </w:t>
      </w:r>
      <w:hyperlink r:id="rId34">
        <w:r w:rsidDel="00000000" w:rsidR="00000000" w:rsidRPr="00000000">
          <w:rPr>
            <w:rFonts w:ascii="Arial" w:cs="Arial" w:eastAsia="Arial" w:hAnsi="Arial"/>
            <w:color w:val="0000ee"/>
            <w:sz w:val="24"/>
            <w:szCs w:val="24"/>
            <w:u w:val="single"/>
            <w:rtl w:val="0"/>
          </w:rPr>
          <w:t xml:space="preserve">https://arxiv.org/pdf/2407.21317</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Pathology Foundation Models - PMC, </w:t>
      </w:r>
      <w:hyperlink r:id="rId35">
        <w:r w:rsidDel="00000000" w:rsidR="00000000" w:rsidRPr="00000000">
          <w:rPr>
            <w:rFonts w:ascii="Arial" w:cs="Arial" w:eastAsia="Arial" w:hAnsi="Arial"/>
            <w:color w:val="0000ee"/>
            <w:sz w:val="24"/>
            <w:szCs w:val="24"/>
            <w:u w:val="single"/>
            <w:rtl w:val="0"/>
          </w:rPr>
          <w:t xml:space="preserve">https://pmc.ncbi.nlm.nih.gov/articles/PMC11799676/</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Self-Supervised Learning for Histopathology with Masked, </w:t>
      </w:r>
      <w:hyperlink r:id="rId36">
        <w:r w:rsidDel="00000000" w:rsidR="00000000" w:rsidRPr="00000000">
          <w:rPr>
            <w:rFonts w:ascii="Arial" w:cs="Arial" w:eastAsia="Arial" w:hAnsi="Arial"/>
            <w:color w:val="0000ee"/>
            <w:sz w:val="24"/>
            <w:szCs w:val="24"/>
            <w:u w:val="single"/>
            <w:rtl w:val="0"/>
          </w:rPr>
          <w:t xml:space="preserve">https://www.medrxiv.org/content/10.1101/2023.07.21.23292757v1.full-text</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README.md - owkin/HistoSSLscaling - GitHub, </w:t>
      </w:r>
      <w:hyperlink r:id="rId37">
        <w:r w:rsidDel="00000000" w:rsidR="00000000" w:rsidRPr="00000000">
          <w:rPr>
            <w:rFonts w:ascii="Arial" w:cs="Arial" w:eastAsia="Arial" w:hAnsi="Arial"/>
            <w:color w:val="0000ee"/>
            <w:sz w:val="24"/>
            <w:szCs w:val="24"/>
            <w:u w:val="single"/>
            <w:rtl w:val="0"/>
          </w:rPr>
          <w:t xml:space="preserve">https://github.com/owkin/HistoSSLscaling/blob/main/README.md</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kaczmarj/metastasis-abmil-128um-uni - Hugging Face, </w:t>
      </w:r>
      <w:hyperlink r:id="rId38">
        <w:r w:rsidDel="00000000" w:rsidR="00000000" w:rsidRPr="00000000">
          <w:rPr>
            <w:rFonts w:ascii="Arial" w:cs="Arial" w:eastAsia="Arial" w:hAnsi="Arial"/>
            <w:color w:val="0000ee"/>
            <w:sz w:val="24"/>
            <w:szCs w:val="24"/>
            <w:u w:val="single"/>
            <w:rtl w:val="0"/>
          </w:rPr>
          <w:t xml:space="preserve">https://huggingface.co/kaczmarj/metastasis-abmil-128um-uni</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HisynSeg: Weakly-Supervised Histopathological Image ... - arXiv, </w:t>
      </w:r>
      <w:hyperlink r:id="rId39">
        <w:r w:rsidDel="00000000" w:rsidR="00000000" w:rsidRPr="00000000">
          <w:rPr>
            <w:rFonts w:ascii="Arial" w:cs="Arial" w:eastAsia="Arial" w:hAnsi="Arial"/>
            <w:color w:val="0000ee"/>
            <w:sz w:val="24"/>
            <w:szCs w:val="24"/>
            <w:u w:val="single"/>
            <w:rtl w:val="0"/>
          </w:rPr>
          <w:t xml:space="preserve">https://arxiv.org/html/2412.20924v1</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Prototype-Based Image Prompting for Weakly Supervised ... - arXiv, </w:t>
      </w:r>
      <w:hyperlink r:id="rId40">
        <w:r w:rsidDel="00000000" w:rsidR="00000000" w:rsidRPr="00000000">
          <w:rPr>
            <w:rFonts w:ascii="Arial" w:cs="Arial" w:eastAsia="Arial" w:hAnsi="Arial"/>
            <w:color w:val="0000ee"/>
            <w:sz w:val="24"/>
            <w:szCs w:val="24"/>
            <w:u w:val="single"/>
            <w:rtl w:val="0"/>
          </w:rPr>
          <w:t xml:space="preserve">https://arxiv.org/html/2503.12068v1</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Weakly-Supervised Semantic Segmentation for Histopathology, </w:t>
      </w:r>
      <w:hyperlink r:id="rId41">
        <w:r w:rsidDel="00000000" w:rsidR="00000000" w:rsidRPr="00000000">
          <w:rPr>
            <w:rFonts w:ascii="Arial" w:cs="Arial" w:eastAsia="Arial" w:hAnsi="Arial"/>
            <w:color w:val="0000ee"/>
            <w:sz w:val="24"/>
            <w:szCs w:val="24"/>
            <w:u w:val="single"/>
            <w:rtl w:val="0"/>
          </w:rPr>
          <w:t xml:space="preserve">https://mmlab-sigs.github.io/groups/zwang/publications/6106.FangZ.pdf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Weakly Supervised Teacher–Student Framework with Progressive, </w:t>
      </w:r>
      <w:hyperlink r:id="rId42">
        <w:r w:rsidDel="00000000" w:rsidR="00000000" w:rsidRPr="00000000">
          <w:rPr>
            <w:rFonts w:ascii="Arial" w:cs="Arial" w:eastAsia="Arial" w:hAnsi="Arial"/>
            <w:color w:val="0000ee"/>
            <w:sz w:val="24"/>
            <w:szCs w:val="24"/>
            <w:u w:val="single"/>
            <w:rtl w:val="0"/>
          </w:rPr>
          <w:t xml:space="preserve">https://www.xiahepublishing.com/2771-165X/JCTP-2025-00055</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Domain Adaptation Without the Compute Burden for Efficient Whole, </w:t>
      </w:r>
      <w:hyperlink r:id="rId43">
        <w:r w:rsidDel="00000000" w:rsidR="00000000" w:rsidRPr="00000000">
          <w:rPr>
            <w:rFonts w:ascii="Arial" w:cs="Arial" w:eastAsia="Arial" w:hAnsi="Arial"/>
            <w:color w:val="0000ee"/>
            <w:sz w:val="24"/>
            <w:szCs w:val="24"/>
            <w:u w:val="single"/>
            <w:rtl w:val="0"/>
          </w:rPr>
          <w:t xml:space="preserve">https://openreview.net/forum?id=gNyqM50ZY2</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EP-SAM: Weakly Supervised Histopathology Segmentation ... - arXiv, </w:t>
      </w:r>
      <w:hyperlink r:id="rId44">
        <w:r w:rsidDel="00000000" w:rsidR="00000000" w:rsidRPr="00000000">
          <w:rPr>
            <w:rFonts w:ascii="Arial" w:cs="Arial" w:eastAsia="Arial" w:hAnsi="Arial"/>
            <w:color w:val="0000ee"/>
            <w:sz w:val="24"/>
            <w:szCs w:val="24"/>
            <w:u w:val="single"/>
            <w:rtl w:val="0"/>
          </w:rPr>
          <w:t xml:space="preserve">https://arxiv.org/abs/2410.13621</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Data-efficient and weakly supervised computational pathology on, </w:t>
      </w:r>
      <w:hyperlink r:id="rId45">
        <w:r w:rsidDel="00000000" w:rsidR="00000000" w:rsidRPr="00000000">
          <w:rPr>
            <w:rFonts w:ascii="Arial" w:cs="Arial" w:eastAsia="Arial" w:hAnsi="Arial"/>
            <w:color w:val="0000ee"/>
            <w:sz w:val="24"/>
            <w:szCs w:val="24"/>
            <w:u w:val="single"/>
            <w:rtl w:val="0"/>
          </w:rPr>
          <w:t xml:space="preserve">https://pmc.ncbi.nlm.nih.gov/articles/PMC8711640/</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Interpretability and visualization a,b, For RCC (a) and NSCLC (b), </w:t>
      </w:r>
      <w:hyperlink r:id="rId46">
        <w:r w:rsidDel="00000000" w:rsidR="00000000" w:rsidRPr="00000000">
          <w:rPr>
            <w:rFonts w:ascii="Arial" w:cs="Arial" w:eastAsia="Arial" w:hAnsi="Arial"/>
            <w:color w:val="0000ee"/>
            <w:sz w:val="24"/>
            <w:szCs w:val="24"/>
            <w:u w:val="single"/>
            <w:rtl w:val="0"/>
          </w:rPr>
          <w:t xml:space="preserve">https://www.researchgate.net/figure/Interpretability-and-visualization-a-b-For-RCC-a-and-NSCLC-b-subtyping-a_fig4_349707547</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Single-Stage Hierarchical Rectification for Weakly Supervised, </w:t>
      </w:r>
      <w:hyperlink r:id="rId47">
        <w:r w:rsidDel="00000000" w:rsidR="00000000" w:rsidRPr="00000000">
          <w:rPr>
            <w:rFonts w:ascii="Arial" w:cs="Arial" w:eastAsia="Arial" w:hAnsi="Arial"/>
            <w:color w:val="0000ee"/>
            <w:sz w:val="24"/>
            <w:szCs w:val="24"/>
            <w:u w:val="single"/>
            <w:rtl w:val="0"/>
          </w:rPr>
          <w:t xml:space="preserve">https://arxiv.org/abs/2606.20250</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CAMELYON16 dataset - torchmil, </w:t>
      </w:r>
      <w:hyperlink r:id="rId48">
        <w:r w:rsidDel="00000000" w:rsidR="00000000" w:rsidRPr="00000000">
          <w:rPr>
            <w:rFonts w:ascii="Arial" w:cs="Arial" w:eastAsia="Arial" w:hAnsi="Arial"/>
            <w:color w:val="0000ee"/>
            <w:sz w:val="24"/>
            <w:szCs w:val="24"/>
            <w:u w:val="single"/>
            <w:rtl w:val="0"/>
          </w:rPr>
          <w:t xml:space="preserve">https://torchmil.readthedocs.io/en/latest/api/datasets/camelyon16mil_dataset/</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kaczmarj/camelyon16-uni · Datasets at Hugging Face, </w:t>
      </w:r>
      <w:hyperlink r:id="rId49">
        <w:r w:rsidDel="00000000" w:rsidR="00000000" w:rsidRPr="00000000">
          <w:rPr>
            <w:rFonts w:ascii="Arial" w:cs="Arial" w:eastAsia="Arial" w:hAnsi="Arial"/>
            <w:color w:val="0000ee"/>
            <w:sz w:val="24"/>
            <w:szCs w:val="24"/>
            <w:u w:val="single"/>
            <w:rtl w:val="0"/>
          </w:rPr>
          <w:t xml:space="preserve">https://huggingface.co/datasets/kaczmarj/camelyon16-uni</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Self-Supervised Learning for Histopathology with Masked, </w:t>
      </w:r>
      <w:hyperlink r:id="rId50">
        <w:r w:rsidDel="00000000" w:rsidR="00000000" w:rsidRPr="00000000">
          <w:rPr>
            <w:rFonts w:ascii="Arial" w:cs="Arial" w:eastAsia="Arial" w:hAnsi="Arial"/>
            <w:color w:val="0000ee"/>
            <w:sz w:val="24"/>
            <w:szCs w:val="24"/>
            <w:u w:val="single"/>
            <w:rtl w:val="0"/>
          </w:rPr>
          <w:t xml:space="preserve">https://www.researchgate.net/publication/372674514_Scaling_Self-Supervised_Learning_for_Histopathology_with_Masked_Image_Modeling</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Counterfactual Attention Regularization for Multiple Instance Learning, </w:t>
      </w:r>
      <w:hyperlink r:id="rId51">
        <w:r w:rsidDel="00000000" w:rsidR="00000000" w:rsidRPr="00000000">
          <w:rPr>
            <w:rFonts w:ascii="Arial" w:cs="Arial" w:eastAsia="Arial" w:hAnsi="Arial"/>
            <w:color w:val="0000ee"/>
            <w:sz w:val="24"/>
            <w:szCs w:val="24"/>
            <w:u w:val="single"/>
            <w:rtl w:val="0"/>
          </w:rPr>
          <w:t xml:space="preserve">https://media.eventhosts.cc/Conferences/ECCV2026/pdfs/9801.pdf</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for Digital Pathology - Scnsoft, </w:t>
      </w:r>
      <w:hyperlink r:id="rId52">
        <w:r w:rsidDel="00000000" w:rsidR="00000000" w:rsidRPr="00000000">
          <w:rPr>
            <w:rFonts w:ascii="Arial" w:cs="Arial" w:eastAsia="Arial" w:hAnsi="Arial"/>
            <w:color w:val="0000ee"/>
            <w:sz w:val="24"/>
            <w:szCs w:val="24"/>
            <w:u w:val="single"/>
            <w:rtl w:val="0"/>
          </w:rPr>
          <w:t xml:space="preserve">https://www.scnsoft.com/healthcare/artificial-intelligence/digital-pathology</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Technical and Diagnostic Issues in Whole Slide Imaging ... - Frontiers, </w:t>
      </w:r>
      <w:hyperlink r:id="rId53">
        <w:r w:rsidDel="00000000" w:rsidR="00000000" w:rsidRPr="00000000">
          <w:rPr>
            <w:rFonts w:ascii="Arial" w:cs="Arial" w:eastAsia="Arial" w:hAnsi="Arial"/>
            <w:color w:val="0000ee"/>
            <w:sz w:val="24"/>
            <w:szCs w:val="24"/>
            <w:u w:val="single"/>
            <w:rtl w:val="0"/>
          </w:rPr>
          <w:t xml:space="preserve">https://www.frontiersin.org/journals/oncology/articles/10.3389/fonc.2022.918580/full</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Deep-learning triage of 3D pathology datasets for comprehensive, </w:t>
      </w:r>
      <w:hyperlink r:id="rId54">
        <w:r w:rsidDel="00000000" w:rsidR="00000000" w:rsidRPr="00000000">
          <w:rPr>
            <w:rFonts w:ascii="Arial" w:cs="Arial" w:eastAsia="Arial" w:hAnsi="Arial"/>
            <w:color w:val="0000ee"/>
            <w:sz w:val="24"/>
            <w:szCs w:val="24"/>
            <w:u w:val="single"/>
            <w:rtl w:val="0"/>
          </w:rPr>
          <w:t xml:space="preserve">https://www.biorxiv.org/content/10.1101/2025.07.20.665804v1.full-text</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 in Digital Pathology for Prostate Cancer Detection, </w:t>
      </w:r>
      <w:hyperlink r:id="rId55">
        <w:r w:rsidDel="00000000" w:rsidR="00000000" w:rsidRPr="00000000">
          <w:rPr>
            <w:rFonts w:ascii="Arial" w:cs="Arial" w:eastAsia="Arial" w:hAnsi="Arial"/>
            <w:color w:val="0000ee"/>
            <w:sz w:val="24"/>
            <w:szCs w:val="24"/>
            <w:u w:val="single"/>
            <w:rtl w:val="0"/>
          </w:rPr>
          <w:t xml:space="preserve">https://jcp.bmj.com/content/79/10/669</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Semantic Segmentation Based Quality Control of Histopathology, </w:t>
      </w:r>
      <w:hyperlink r:id="rId56">
        <w:r w:rsidDel="00000000" w:rsidR="00000000" w:rsidRPr="00000000">
          <w:rPr>
            <w:rFonts w:ascii="Arial" w:cs="Arial" w:eastAsia="Arial" w:hAnsi="Arial"/>
            <w:color w:val="0000ee"/>
            <w:sz w:val="24"/>
            <w:szCs w:val="24"/>
            <w:u w:val="single"/>
            <w:rtl w:val="0"/>
          </w:rPr>
          <w:t xml:space="preserve">https://arxiv.org/html/2410.03289v2</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Entwicklung einer Lernsoftware für das Fach “Pathologie” - SerWisS, </w:t>
      </w:r>
      <w:hyperlink r:id="rId57">
        <w:r w:rsidDel="00000000" w:rsidR="00000000" w:rsidRPr="00000000">
          <w:rPr>
            <w:rFonts w:ascii="Arial" w:cs="Arial" w:eastAsia="Arial" w:hAnsi="Arial"/>
            <w:color w:val="0000ee"/>
            <w:sz w:val="24"/>
            <w:szCs w:val="24"/>
            <w:u w:val="single"/>
            <w:rtl w:val="0"/>
          </w:rPr>
          <w:t xml:space="preserve">https://serwiss.bib.hs-hannover.de/files/1972/BA_Jannes_Neemann.pdf</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ONLINE RELEASE, </w:t>
      </w:r>
      <w:hyperlink r:id="rId58">
        <w:r w:rsidDel="00000000" w:rsidR="00000000" w:rsidRPr="00000000">
          <w:rPr>
            <w:rFonts w:ascii="Arial" w:cs="Arial" w:eastAsia="Arial" w:hAnsi="Arial"/>
            <w:color w:val="0000ee"/>
            <w:sz w:val="24"/>
            <w:szCs w:val="24"/>
            <w:u w:val="single"/>
            <w:rtl w:val="0"/>
          </w:rPr>
          <w:t xml:space="preserve">https://triangle-octagon-8fxh.squarespace.com/s/105858_arpa2020-0723-cp.pdf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Whole‐slide imaging at primary pathological diagnosis - Ovid, </w:t>
      </w:r>
      <w:hyperlink r:id="rId59">
        <w:r w:rsidDel="00000000" w:rsidR="00000000" w:rsidRPr="00000000">
          <w:rPr>
            <w:rFonts w:ascii="Arial" w:cs="Arial" w:eastAsia="Arial" w:hAnsi="Arial"/>
            <w:color w:val="0000ee"/>
            <w:sz w:val="24"/>
            <w:szCs w:val="24"/>
            <w:u w:val="single"/>
            <w:rtl w:val="0"/>
          </w:rPr>
          <w:t xml:space="preserve">https://www.ovid.com/00041332-201711000-00003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3.12068v1" TargetMode="External"/><Relationship Id="rId42" Type="http://schemas.openxmlformats.org/officeDocument/2006/relationships/hyperlink" Target="https://www.xiahepublishing.com/2771-165X/JCTP-2025-00055" TargetMode="External"/><Relationship Id="rId41" Type="http://schemas.openxmlformats.org/officeDocument/2006/relationships/hyperlink" Target="https://mmlab-sigs.github.io/groups/zwang/publications/6106.FangZ.pdf" TargetMode="External"/><Relationship Id="rId44" Type="http://schemas.openxmlformats.org/officeDocument/2006/relationships/hyperlink" Target="https://arxiv.org/abs/2410.13621" TargetMode="External"/><Relationship Id="rId43" Type="http://schemas.openxmlformats.org/officeDocument/2006/relationships/hyperlink" Target="https://openreview.net/forum?id=gNyqM50ZY2" TargetMode="External"/><Relationship Id="rId46" Type="http://schemas.openxmlformats.org/officeDocument/2006/relationships/hyperlink" Target="https://www.researchgate.net/figure/Interpretability-and-visualization-a-b-For-RCC-a-and-NSCLC-b-subtyping-a_fig4_349707547" TargetMode="External"/><Relationship Id="rId45" Type="http://schemas.openxmlformats.org/officeDocument/2006/relationships/hyperlink" Target="https://pmc.ncbi.nlm.nih.gov/articles/PMC8711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torchmil.readthedocs.io/en/latest/api/datasets/camelyon16mil_dataset/" TargetMode="External"/><Relationship Id="rId47" Type="http://schemas.openxmlformats.org/officeDocument/2006/relationships/hyperlink" Target="https://arxiv.org/abs/2606.20250" TargetMode="External"/><Relationship Id="rId49" Type="http://schemas.openxmlformats.org/officeDocument/2006/relationships/hyperlink" Target="https://huggingface.co/datasets/kaczmarj/camelyon16-uni"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github.com/mahmoodlab/clam" TargetMode="External"/><Relationship Id="rId30" Type="http://schemas.openxmlformats.org/officeDocument/2006/relationships/hyperlink" Target="https://www.researchgate.net/publication/340826474_Data_Efficient_and_Weakly_Supervised_Computational_Pathology_on_Whole_Slide_Images" TargetMode="External"/><Relationship Id="rId33" Type="http://schemas.openxmlformats.org/officeDocument/2006/relationships/hyperlink" Target="https://proceedings.iclr.cc/paper_files/paper/2025/file/463a91da3c832bd28912cd0d1b8d9974-Paper-Conference.pdf" TargetMode="External"/><Relationship Id="rId32" Type="http://schemas.openxmlformats.org/officeDocument/2006/relationships/hyperlink" Target="https://arxiv.org/html/2402.17228v4" TargetMode="External"/><Relationship Id="rId35" Type="http://schemas.openxmlformats.org/officeDocument/2006/relationships/hyperlink" Target="https://pmc.ncbi.nlm.nih.gov/articles/PMC11799676/" TargetMode="External"/><Relationship Id="rId34" Type="http://schemas.openxmlformats.org/officeDocument/2006/relationships/hyperlink" Target="https://arxiv.org/pdf/2407.21317" TargetMode="External"/><Relationship Id="rId37" Type="http://schemas.openxmlformats.org/officeDocument/2006/relationships/hyperlink" Target="https://github.com/owkin/HistoSSLscaling/blob/main/README.md" TargetMode="External"/><Relationship Id="rId36" Type="http://schemas.openxmlformats.org/officeDocument/2006/relationships/hyperlink" Target="https://www.medrxiv.org/content/10.1101/2023.07.21.23292757v1.full-text" TargetMode="External"/><Relationship Id="rId39" Type="http://schemas.openxmlformats.org/officeDocument/2006/relationships/hyperlink" Target="https://arxiv.org/html/2412.20924v1" TargetMode="External"/><Relationship Id="rId38" Type="http://schemas.openxmlformats.org/officeDocument/2006/relationships/hyperlink" Target="https://huggingface.co/kaczmarj/metastasis-abmil-128um-uni" TargetMode="External"/><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4.png"/><Relationship Id="rId26" Type="http://schemas.openxmlformats.org/officeDocument/2006/relationships/hyperlink" Target="http://www.jmatonline.com/PDF/109-PB-353-364-03887.pdf" TargetMode="External"/><Relationship Id="rId25" Type="http://schemas.openxmlformats.org/officeDocument/2006/relationships/hyperlink" Target="https://arxiv.org/html/2204.06455v2" TargetMode="External"/><Relationship Id="rId28" Type="http://schemas.openxmlformats.org/officeDocument/2006/relationships/hyperlink" Target="https://arxiv.org/pdf/2004.05024" TargetMode="External"/><Relationship Id="rId27" Type="http://schemas.openxmlformats.org/officeDocument/2006/relationships/hyperlink" Target="https://www.medrxiv.org/content/10.1101/2023.07.21.23292757v1.full.pdf" TargetMode="External"/><Relationship Id="rId29" Type="http://schemas.openxmlformats.org/officeDocument/2006/relationships/hyperlink" Target="https://arxiv.org/html/2205.08878v1" TargetMode="External"/><Relationship Id="rId51" Type="http://schemas.openxmlformats.org/officeDocument/2006/relationships/hyperlink" Target="https://media.eventhosts.cc/Conferences/ECCV2026/pdfs/9801.pdf" TargetMode="External"/><Relationship Id="rId50" Type="http://schemas.openxmlformats.org/officeDocument/2006/relationships/hyperlink" Target="https://www.researchgate.net/publication/372674514_Scaling_Self-Supervised_Learning_for_Histopathology_with_Masked_Image_Modeling" TargetMode="External"/><Relationship Id="rId53" Type="http://schemas.openxmlformats.org/officeDocument/2006/relationships/hyperlink" Target="https://www.frontiersin.org/journals/oncology/articles/10.3389/fonc.2022.918580/full" TargetMode="External"/><Relationship Id="rId52" Type="http://schemas.openxmlformats.org/officeDocument/2006/relationships/hyperlink" Target="https://www.scnsoft.com/healthcare/artificial-intelligence/digital-pathology" TargetMode="External"/><Relationship Id="rId11" Type="http://schemas.openxmlformats.org/officeDocument/2006/relationships/image" Target="media/image8.png"/><Relationship Id="rId55" Type="http://schemas.openxmlformats.org/officeDocument/2006/relationships/hyperlink" Target="https://jcp.bmj.com/content/79/10/669" TargetMode="External"/><Relationship Id="rId10" Type="http://schemas.openxmlformats.org/officeDocument/2006/relationships/image" Target="media/image9.png"/><Relationship Id="rId54" Type="http://schemas.openxmlformats.org/officeDocument/2006/relationships/hyperlink" Target="https://www.biorxiv.org/content/10.1101/2025.07.20.665804v1.full-text" TargetMode="External"/><Relationship Id="rId13" Type="http://schemas.openxmlformats.org/officeDocument/2006/relationships/image" Target="media/image12.png"/><Relationship Id="rId57" Type="http://schemas.openxmlformats.org/officeDocument/2006/relationships/hyperlink" Target="https://serwiss.bib.hs-hannover.de/files/1972/BA_Jannes_Neemann.pdf" TargetMode="External"/><Relationship Id="rId12" Type="http://schemas.openxmlformats.org/officeDocument/2006/relationships/image" Target="media/image7.png"/><Relationship Id="rId56" Type="http://schemas.openxmlformats.org/officeDocument/2006/relationships/hyperlink" Target="https://arxiv.org/html/2410.03289v2" TargetMode="External"/><Relationship Id="rId15" Type="http://schemas.openxmlformats.org/officeDocument/2006/relationships/image" Target="media/image14.png"/><Relationship Id="rId59" Type="http://schemas.openxmlformats.org/officeDocument/2006/relationships/hyperlink" Target="https://www.ovid.com/00041332-201711000-00003" TargetMode="External"/><Relationship Id="rId14" Type="http://schemas.openxmlformats.org/officeDocument/2006/relationships/image" Target="media/image13.png"/><Relationship Id="rId58" Type="http://schemas.openxmlformats.org/officeDocument/2006/relationships/hyperlink" Target="https://triangle-octagon-8fxh.squarespace.com/s/105858_arpa2020-0723-cp.pdf" TargetMode="External"/><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