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BF2" w:rsidRPr="00116BF2" w:rsidRDefault="00116BF2" w:rsidP="00803841">
      <w:pPr>
        <w:jc w:val="both"/>
        <w:rPr>
          <w:b/>
          <w:bCs/>
        </w:rPr>
      </w:pPr>
      <w:r w:rsidRPr="00116BF2">
        <w:rPr>
          <w:b/>
          <w:bCs/>
        </w:rPr>
        <w:t>Tax Assistance</w:t>
      </w:r>
    </w:p>
    <w:p w:rsidR="00116BF2" w:rsidRPr="00116BF2" w:rsidRDefault="00116BF2" w:rsidP="00803841">
      <w:pPr>
        <w:jc w:val="both"/>
        <w:rPr>
          <w:b/>
          <w:bCs/>
        </w:rPr>
      </w:pPr>
      <w:r w:rsidRPr="00116BF2">
        <w:rPr>
          <w:b/>
          <w:bCs/>
        </w:rPr>
        <w:t>Background</w:t>
      </w:r>
    </w:p>
    <w:p w:rsidR="00116BF2" w:rsidRPr="00116BF2" w:rsidRDefault="00116BF2" w:rsidP="00803841">
      <w:pPr>
        <w:jc w:val="both"/>
      </w:pPr>
      <w:r w:rsidRPr="00116BF2">
        <w:t>Jasa asistensi pajak ditujukan untuk mendampingi dan membantu client untuk mendapatkan hasil optimal dalam proses pemeriksaan, memberikan penjelasan atas hasil temuan pemeriksaan pajak, memberikan pendampingan pada wajib pajak Ketika tersandung masalah pajak, hingga mendapatkan hasil berupa Surat Ketetapan Pajak.</w:t>
      </w:r>
    </w:p>
    <w:p w:rsidR="00116BF2" w:rsidRPr="00116BF2" w:rsidRDefault="00116BF2" w:rsidP="00803841">
      <w:pPr>
        <w:pStyle w:val="ListParagraph"/>
        <w:numPr>
          <w:ilvl w:val="0"/>
          <w:numId w:val="1"/>
        </w:numPr>
        <w:jc w:val="both"/>
        <w:rPr>
          <w:b/>
          <w:bCs/>
        </w:rPr>
      </w:pPr>
      <w:r w:rsidRPr="00116BF2">
        <w:rPr>
          <w:b/>
          <w:bCs/>
        </w:rPr>
        <w:t>Tax Diagnostic Review</w:t>
      </w:r>
    </w:p>
    <w:p w:rsidR="00116BF2" w:rsidRPr="00116BF2" w:rsidRDefault="00116BF2" w:rsidP="00803841">
      <w:pPr>
        <w:jc w:val="both"/>
      </w:pPr>
      <w:r w:rsidRPr="00116BF2">
        <w:t>Membantu Perusahaan memahami aspek pajak terkait dengan transaksi pada tahun pajak, melakukan penghitungan ulang potensi pajak yang mungkin terjadi, dan memberikan rekomendasi agar perusahaan dapat meminimalkan potensi pajak yang mungkin terjadi. Tahapan kerja jasa telaah pajak ini meliputi tahapan persiapan pendampingan dengan menyiapkan dokumen dan mengumpulkan data-data yang dibutuhkan untuk penelaahan pajak, kemudian tahapan pekerjaan lapangan yang meliputi proses uji kepatuhan wajib pajak terhadap ketentuan pajak yang berlaku hingga hingga tahapan menghitung ulang potensi pajak yang seharusnya masih terutang, dan tahapan akhir yaitu tahap pelaporan yang meliputi proses penyusunan draft laporan telaah pajak hingga finalisasi laporan telaah perpajakan.</w:t>
      </w:r>
    </w:p>
    <w:p w:rsidR="00116BF2" w:rsidRPr="00116BF2" w:rsidRDefault="00116BF2" w:rsidP="00803841">
      <w:pPr>
        <w:pStyle w:val="ListParagraph"/>
        <w:numPr>
          <w:ilvl w:val="0"/>
          <w:numId w:val="1"/>
        </w:numPr>
        <w:jc w:val="both"/>
        <w:rPr>
          <w:b/>
          <w:bCs/>
        </w:rPr>
      </w:pPr>
      <w:r w:rsidRPr="00116BF2">
        <w:rPr>
          <w:b/>
          <w:bCs/>
        </w:rPr>
        <w:t>Assistensi Pemeriksaan</w:t>
      </w:r>
    </w:p>
    <w:p w:rsidR="00116BF2" w:rsidRPr="00116BF2" w:rsidRDefault="00116BF2" w:rsidP="00803841">
      <w:pPr>
        <w:jc w:val="both"/>
      </w:pPr>
      <w:r w:rsidRPr="00116BF2">
        <w:t>Bertujuan untuk mendampingi/mewakili perusahaan dalam proses pemeriksaan dan membantu perusahaan agar mendapatkan penghematan pajak secara optimal/pengembalian pajak yang maksimal Jasa asistensi pemeriksaan menyangkup beberapa ruang lingkup pekerjaan: membantu menyiapkan dokumen untuk memenuhi pemeriksa pajak, menjelaskan dan menjawab pertanyaan pemeriksa, hingga memberikan tanggapan dan diskusi hasil pemeriksaan dengan pemeriksa pajak</w:t>
      </w:r>
    </w:p>
    <w:p w:rsidR="00116BF2" w:rsidRPr="00116BF2" w:rsidRDefault="00116BF2" w:rsidP="00803841">
      <w:pPr>
        <w:pStyle w:val="ListParagraph"/>
        <w:numPr>
          <w:ilvl w:val="0"/>
          <w:numId w:val="1"/>
        </w:numPr>
        <w:jc w:val="both"/>
        <w:rPr>
          <w:b/>
          <w:bCs/>
        </w:rPr>
      </w:pPr>
      <w:r w:rsidRPr="00116BF2">
        <w:rPr>
          <w:b/>
          <w:bCs/>
        </w:rPr>
        <w:t>Assistensi Keberatan</w:t>
      </w:r>
      <w:bookmarkStart w:id="0" w:name="_GoBack"/>
      <w:bookmarkEnd w:id="0"/>
    </w:p>
    <w:p w:rsidR="00116BF2" w:rsidRPr="00116BF2" w:rsidRDefault="00116BF2" w:rsidP="00803841">
      <w:pPr>
        <w:jc w:val="both"/>
      </w:pPr>
      <w:r w:rsidRPr="00116BF2">
        <w:t>Jasa asistensi keberatan pajak ditujukan untuk mendampingi/mewakili perusahaan dalam proses keberatan dan membantu perusahaan agar mendapatkan penghematan pajak secara optimal. Konsultan akan mendampingi wajib pajak, dari menyiapkan surat keberatan, menyiapkan dokumen yang diperlukan dan wajib disertakan, hingga menyiapkan argumentasi dan dan menjadi penghubung wajib pajak dengan kantor pajak.</w:t>
      </w:r>
    </w:p>
    <w:p w:rsidR="00116BF2" w:rsidRPr="00116BF2" w:rsidRDefault="00116BF2" w:rsidP="00803841">
      <w:pPr>
        <w:pStyle w:val="ListParagraph"/>
        <w:numPr>
          <w:ilvl w:val="0"/>
          <w:numId w:val="1"/>
        </w:numPr>
        <w:jc w:val="both"/>
        <w:rPr>
          <w:b/>
          <w:bCs/>
        </w:rPr>
      </w:pPr>
      <w:r w:rsidRPr="00116BF2">
        <w:rPr>
          <w:b/>
          <w:bCs/>
        </w:rPr>
        <w:t>Assistensi Banding</w:t>
      </w:r>
    </w:p>
    <w:p w:rsidR="00116BF2" w:rsidRPr="00116BF2" w:rsidRDefault="00116BF2" w:rsidP="00803841">
      <w:pPr>
        <w:jc w:val="both"/>
      </w:pPr>
      <w:r w:rsidRPr="00116BF2">
        <w:t>Tujuan Jasa Asistensi Banding adalah mendampingi/mewakili perusahaan dalam proses banding di pengadilan pajak dan membantu perusahaan dalam memperoleh penghematan pajak yang optimal dalam putusan pengadilan pajak. Dalam proses banding ini, Konsultan akan membantu klien dalam menyiapkan surat banding, membuat surat bantahan, menyiapkan bukti di pengadilan hingga beracara di Pengadilan Pajak.</w:t>
      </w:r>
    </w:p>
    <w:p w:rsidR="00DF5257" w:rsidRDefault="00803841" w:rsidP="00803841">
      <w:pPr>
        <w:jc w:val="both"/>
      </w:pPr>
    </w:p>
    <w:sectPr w:rsidR="00DF5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761FDC"/>
    <w:multiLevelType w:val="hybridMultilevel"/>
    <w:tmpl w:val="C6CE3F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F3"/>
    <w:rsid w:val="00116BF2"/>
    <w:rsid w:val="00376CF3"/>
    <w:rsid w:val="00412C75"/>
    <w:rsid w:val="00623584"/>
    <w:rsid w:val="00803841"/>
    <w:rsid w:val="009C1F8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ABB2B-7717-4F89-8FE9-094CD954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227005">
      <w:bodyDiv w:val="1"/>
      <w:marLeft w:val="0"/>
      <w:marRight w:val="0"/>
      <w:marTop w:val="0"/>
      <w:marBottom w:val="0"/>
      <w:divBdr>
        <w:top w:val="none" w:sz="0" w:space="0" w:color="auto"/>
        <w:left w:val="none" w:sz="0" w:space="0" w:color="auto"/>
        <w:bottom w:val="none" w:sz="0" w:space="0" w:color="auto"/>
        <w:right w:val="none" w:sz="0" w:space="0" w:color="auto"/>
      </w:divBdr>
      <w:divsChild>
        <w:div w:id="908534882">
          <w:blockQuote w:val="1"/>
          <w:marLeft w:val="0"/>
          <w:marRight w:val="0"/>
          <w:marTop w:val="0"/>
          <w:marBottom w:val="240"/>
          <w:divBdr>
            <w:top w:val="none" w:sz="0" w:space="0" w:color="auto"/>
            <w:left w:val="none" w:sz="0" w:space="0" w:color="auto"/>
            <w:bottom w:val="none" w:sz="0" w:space="0" w:color="auto"/>
            <w:right w:val="none" w:sz="0" w:space="0" w:color="auto"/>
          </w:divBdr>
        </w:div>
        <w:div w:id="1762798979">
          <w:blockQuote w:val="1"/>
          <w:marLeft w:val="0"/>
          <w:marRight w:val="0"/>
          <w:marTop w:val="0"/>
          <w:marBottom w:val="240"/>
          <w:divBdr>
            <w:top w:val="none" w:sz="0" w:space="0" w:color="auto"/>
            <w:left w:val="none" w:sz="0" w:space="0" w:color="auto"/>
            <w:bottom w:val="none" w:sz="0" w:space="0" w:color="auto"/>
            <w:right w:val="none" w:sz="0" w:space="0" w:color="auto"/>
          </w:divBdr>
        </w:div>
        <w:div w:id="351762940">
          <w:blockQuote w:val="1"/>
          <w:marLeft w:val="0"/>
          <w:marRight w:val="0"/>
          <w:marTop w:val="0"/>
          <w:marBottom w:val="240"/>
          <w:divBdr>
            <w:top w:val="none" w:sz="0" w:space="0" w:color="auto"/>
            <w:left w:val="none" w:sz="0" w:space="0" w:color="auto"/>
            <w:bottom w:val="none" w:sz="0" w:space="0" w:color="auto"/>
            <w:right w:val="none" w:sz="0" w:space="0" w:color="auto"/>
          </w:divBdr>
        </w:div>
        <w:div w:id="1509371602">
          <w:blockQuote w:val="1"/>
          <w:marLeft w:val="0"/>
          <w:marRight w:val="0"/>
          <w:marTop w:val="0"/>
          <w:marBottom w:val="240"/>
          <w:divBdr>
            <w:top w:val="none" w:sz="0" w:space="0" w:color="auto"/>
            <w:left w:val="none" w:sz="0" w:space="0" w:color="auto"/>
            <w:bottom w:val="none" w:sz="0" w:space="0" w:color="auto"/>
            <w:right w:val="none" w:sz="0" w:space="0" w:color="auto"/>
          </w:divBdr>
        </w:div>
        <w:div w:id="1445660610">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167018342">
      <w:bodyDiv w:val="1"/>
      <w:marLeft w:val="0"/>
      <w:marRight w:val="0"/>
      <w:marTop w:val="0"/>
      <w:marBottom w:val="0"/>
      <w:divBdr>
        <w:top w:val="none" w:sz="0" w:space="0" w:color="auto"/>
        <w:left w:val="none" w:sz="0" w:space="0" w:color="auto"/>
        <w:bottom w:val="none" w:sz="0" w:space="0" w:color="auto"/>
        <w:right w:val="none" w:sz="0" w:space="0" w:color="auto"/>
      </w:divBdr>
      <w:divsChild>
        <w:div w:id="586228633">
          <w:blockQuote w:val="1"/>
          <w:marLeft w:val="0"/>
          <w:marRight w:val="0"/>
          <w:marTop w:val="0"/>
          <w:marBottom w:val="240"/>
          <w:divBdr>
            <w:top w:val="none" w:sz="0" w:space="0" w:color="auto"/>
            <w:left w:val="none" w:sz="0" w:space="0" w:color="auto"/>
            <w:bottom w:val="none" w:sz="0" w:space="0" w:color="auto"/>
            <w:right w:val="none" w:sz="0" w:space="0" w:color="auto"/>
          </w:divBdr>
        </w:div>
        <w:div w:id="967783131">
          <w:blockQuote w:val="1"/>
          <w:marLeft w:val="0"/>
          <w:marRight w:val="0"/>
          <w:marTop w:val="0"/>
          <w:marBottom w:val="240"/>
          <w:divBdr>
            <w:top w:val="none" w:sz="0" w:space="0" w:color="auto"/>
            <w:left w:val="none" w:sz="0" w:space="0" w:color="auto"/>
            <w:bottom w:val="none" w:sz="0" w:space="0" w:color="auto"/>
            <w:right w:val="none" w:sz="0" w:space="0" w:color="auto"/>
          </w:divBdr>
        </w:div>
        <w:div w:id="426772060">
          <w:blockQuote w:val="1"/>
          <w:marLeft w:val="0"/>
          <w:marRight w:val="0"/>
          <w:marTop w:val="0"/>
          <w:marBottom w:val="240"/>
          <w:divBdr>
            <w:top w:val="none" w:sz="0" w:space="0" w:color="auto"/>
            <w:left w:val="none" w:sz="0" w:space="0" w:color="auto"/>
            <w:bottom w:val="none" w:sz="0" w:space="0" w:color="auto"/>
            <w:right w:val="none" w:sz="0" w:space="0" w:color="auto"/>
          </w:divBdr>
        </w:div>
        <w:div w:id="151877834">
          <w:blockQuote w:val="1"/>
          <w:marLeft w:val="0"/>
          <w:marRight w:val="0"/>
          <w:marTop w:val="0"/>
          <w:marBottom w:val="240"/>
          <w:divBdr>
            <w:top w:val="none" w:sz="0" w:space="0" w:color="auto"/>
            <w:left w:val="none" w:sz="0" w:space="0" w:color="auto"/>
            <w:bottom w:val="none" w:sz="0" w:space="0" w:color="auto"/>
            <w:right w:val="none" w:sz="0" w:space="0" w:color="auto"/>
          </w:divBdr>
        </w:div>
        <w:div w:id="2102987401">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3</cp:revision>
  <dcterms:created xsi:type="dcterms:W3CDTF">2022-11-01T03:07:00Z</dcterms:created>
  <dcterms:modified xsi:type="dcterms:W3CDTF">2022-11-01T06:48:00Z</dcterms:modified>
</cp:coreProperties>
</file>