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br/>
        <w:t>using the Amazon Reviews 2023 dataset</w:t>
        <w:b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Structure</w:t>
        <w:br/>
      </w:r>
      <w:r>
        <w:rPr>
          <w:rFonts w:ascii="Arial" w:eastAsia="Arial" w:hAnsi="Arial" w:cs="Arial"/>
          <w:sz w:val="20"/>
          <w:szCs w:val="20"/>
        </w:rPr>
        <w:t xml:space="preserve">   3.3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3.4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w:t>
        <w:lastRenderedPageBreak/>
        <w:t>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655D54" w14:paraId="78771A8C" w14:textId="77777777">
        <w:trPr>
          <w:trHeight w:val="77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CD6C2"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8CCC"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2A0D"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655D54" w14:paraId="1EE9BD4D"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674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7A7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24D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655D54" w14:paraId="5F540CA3"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015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8D0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2E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655D54" w14:paraId="52D7113C"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BD0E"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94E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70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1FBCFC2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3022E180" w14:textId="77777777" w:rsidR="00655D54" w:rsidRDefault="00000000">
      <w:pPr>
        <w:pStyle w:val="Heading1"/>
        <w:rPr>
          <w:rFonts w:ascii="Arial" w:eastAsia="Arial" w:hAnsi="Arial" w:cs="Arial"/>
        </w:rPr>
      </w:pPr>
      <w:r>
        <w:rPr>
          <w:rFonts w:ascii="Arial" w:eastAsia="Arial" w:hAnsi="Arial" w:cs="Arial"/>
        </w:rPr>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lastRenderedPageBreak/>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lastRenderedPageBreak/>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lastRenderedPageBreak/>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pPr>
        <w:pStyle w:val="Heading2"/>
        <w:spacing w:before="240"/>
      </w:pPr>
      <w:r>
        <w:rPr>
          <w:rFonts w:ascii="Arial" w:eastAsia="Arial" w:hAnsi="Arial" w:cs="Arial"/>
          <w:color w:val="2E5AAC"/>
          <w:sz w:val="20"/>
          <w:szCs w:val="20"/>
        </w:rPr>
        <w:t xml:space="preserve">3.2  Data Structure</w:t>
      </w:r>
    </w:p>
    <w:p>
      <w:pPr>
        <w:pBdr>
          <w:bottom w:val="single" w:sz="12" w:space="1" w:color="2E5AAC"/>
        </w:pBdr>
        <w:spacing w:after="240"/>
        <w:rPr>
          <w:rFonts w:ascii="Arial" w:eastAsia="Arial" w:hAnsi="Arial" w:cs="Arial"/>
          <w:sz w:val="20"/>
          <w:szCs w:val="20"/>
        </w:rPr>
      </w:pPr>
    </w:p>
    <w:p>
      <w:pPr>
        <w:spacing w:after="120" w:line="324" w:lineRule="auto"/>
      </w:pPr>
      <w:r>
        <w:rPr>
          <w:rFonts w:ascii="Arial" w:eastAsia="Arial" w:hAnsi="Arial" w:cs="Arial"/>
          <w:color w:val="1F2933"/>
          <w:sz w:val="20"/>
          <w:szCs w:val="20"/>
        </w:rPr>
        <w:t xml:space="preserve">The pipeline ingests four gzipped JSONL files from the Amazon Reviews 2023 dataset — review and metadata streams for the Movies &amp; TV and Video Games domains — and emits a unified set of parquet artifacts that downstream training, evaluation, and serving all read from.</w:t>
      </w:r>
    </w:p>
    <w:p>
      <w:pPr>
        <w:spacing w:before="200" w:after="80"/>
      </w:pPr>
      <w:r>
        <w:rPr>
          <w:rFonts w:ascii="Arial" w:eastAsia="Arial" w:hAnsi="Arial" w:cs="Arial"/>
          <w:b/>
          <w:bCs/>
          <w:color w:val="2E5AAC"/>
          <w:sz w:val="22"/>
          <w:szCs w:val="22"/>
        </w:rPr>
        <w:t xml:space="preserve">Raw inputs (Amazon Reviews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60"/>
        <w:gridCol w:w="2000"/>
      </w:tblGrid>
      <w:tr>
        <w:tc>
          <w:tcPr>
            <w:tcW w:type="dxa" w:w="3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File</w:t>
            </w:r>
          </w:p>
        </w:tc>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Domain</w:t>
            </w:r>
          </w:p>
        </w:tc>
        <w:tc>
          <w:tcPr>
            <w:tcW w:type="dxa" w:w="28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Format</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Used for</w:t>
            </w:r>
          </w:p>
        </w:tc>
      </w:tr>
      <w:tr>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movies_reviews_2023.jsonl.gz</w:t>
            </w:r>
          </w:p>
        </w:tc>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 &amp; TV</w:t>
            </w:r>
          </w:p>
        </w:tc>
        <w:tc>
          <w:tcPr>
            <w:tcW w:type="dxa" w:w="2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gzipped JSONL, one review per line</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User–item interactions (ratings, timestamps)</w:t>
            </w:r>
          </w:p>
        </w:tc>
      </w:tr>
      <w:tr>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games_reviews_2023.jsonl.gz</w:t>
            </w:r>
          </w:p>
        </w:tc>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Video Games</w:t>
            </w:r>
          </w:p>
        </w:tc>
        <w:tc>
          <w:tcPr>
            <w:tcW w:type="dxa" w:w="2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gzipped JSONL, one review per line</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User–item interactions (ratings, timestamps)</w:t>
            </w:r>
          </w:p>
        </w:tc>
      </w:tr>
      <w:tr>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movies_meta_2023.jsonl.gz</w:t>
            </w:r>
          </w:p>
        </w:tc>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 &amp; TV</w:t>
            </w:r>
          </w:p>
        </w:tc>
        <w:tc>
          <w:tcPr>
            <w:tcW w:type="dxa" w:w="2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gzipped JSONL, one item per line</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Item metadata (title, description, categories, image)</w:t>
            </w:r>
          </w:p>
        </w:tc>
      </w:tr>
      <w:tr>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games_meta_2023.jsonl.gz</w:t>
            </w:r>
          </w:p>
        </w:tc>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Video Games</w:t>
            </w:r>
          </w:p>
        </w:tc>
        <w:tc>
          <w:tcPr>
            <w:tcW w:type="dxa" w:w="2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gzipped JSONL, one item per line</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Item metadata (title, description, categories, image)</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Review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Field</w:t>
            </w:r>
          </w:p>
        </w:tc>
        <w:tc>
          <w:tcPr>
            <w:tcW w:type="dxa" w:w="1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Type</w:t>
            </w:r>
          </w:p>
        </w:tc>
        <w:tc>
          <w:tcPr>
            <w:tcW w:type="dxa" w:w="6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Description</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user_id</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Reviewer / user identifier</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item_id</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Amazon parent_asin — canonical item identifier</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rating</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float</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Star rating, 1–5 (binarised at ≥ 4 to define a positive interaction)</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timestamp</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datetime</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When the review was posted; used for leave-last-out splitting</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review_text</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Free-form review body, truncated to 5000 chars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domain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 or "games" — added at parse time</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Item metadata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Field</w:t>
            </w:r>
          </w:p>
        </w:tc>
        <w:tc>
          <w:tcPr>
            <w:tcW w:type="dxa" w:w="1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Type</w:t>
            </w:r>
          </w:p>
        </w:tc>
        <w:tc>
          <w:tcPr>
            <w:tcW w:type="dxa" w:w="6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Description</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external_id</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parent_asin — the universal key shared by DB, single-domain, and CDR layers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domain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 or "games"</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title</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Item title (≤ 512 chars)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description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Long-form description (≤ 2000 chars); fed to SBERT</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categories</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Comma-joined Amazon category path; used to filter actual games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features</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Bullet-style feature list (≤ 1000 chars)</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main_category</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Top-level Amazon category</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price</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Listed price, kept as string due to inconsistent source formatting</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image_url</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Hi-res product image URL surfaced in the demo UI</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Processed parquet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60"/>
        <w:gridCol w:w="2500"/>
      </w:tblGrid>
      <w:tr>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File</w:t>
            </w:r>
          </w:p>
        </w:tc>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Granularity</w:t>
            </w:r>
          </w:p>
        </w:tc>
        <w:tc>
          <w:tcPr>
            <w:tcW w:type="dxa" w:w="26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Key columns</w:t>
            </w:r>
          </w:p>
        </w:tc>
        <w:tc>
          <w:tcPr>
            <w:tcW w:type="dxa" w:w="2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Purpose</w:t>
            </w:r>
          </w:p>
        </w:tc>
      </w:tr>
      <w:tr>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ratings.parquet</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one row per user–item interaction</w:t>
            </w:r>
          </w:p>
        </w:tc>
        <w:tc>
          <w:tcPr>
            <w:tcW w:type="dxa" w:w="26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user_id, item_id, rating, timestamp, domain</w:t>
            </w:r>
          </w:p>
        </w:tc>
        <w:tc>
          <w:tcPr>
            <w:tcW w:type="dxa" w:w="2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Training and evaluation interactions for both domains</w:t>
            </w:r>
          </w:p>
        </w:tc>
      </w:tr>
      <w:tr>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movies.parquet</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one row per movie item</w:t>
            </w:r>
          </w:p>
        </w:tc>
        <w:tc>
          <w:tcPr>
            <w:tcW w:type="dxa" w:w="26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external_id, title, description, categories, …</w:t>
            </w:r>
          </w:p>
        </w:tc>
        <w:tc>
          <w:tcPr>
            <w:tcW w:type="dxa" w:w="2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Movie-domain item catalog</w:t>
            </w:r>
          </w:p>
        </w:tc>
      </w:tr>
      <w:tr>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games.parquet</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one row per game item</w:t>
            </w:r>
          </w:p>
        </w:tc>
        <w:tc>
          <w:tcPr>
            <w:tcW w:type="dxa" w:w="26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external_id, title, description, categories, …</w:t>
            </w:r>
          </w:p>
        </w:tc>
        <w:tc>
          <w:tcPr>
            <w:tcW w:type="dxa" w:w="2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Game-domain item catalog</w:t>
            </w:r>
          </w:p>
        </w:tc>
      </w:tr>
      <w:tr>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dataset_metadata.json</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single file</w:t>
            </w:r>
          </w:p>
        </w:tc>
        <w:tc>
          <w:tcPr>
            <w:tcW w:type="dxa" w:w="26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processing parameters, item / user counts</w:t>
            </w:r>
          </w:p>
        </w:tc>
        <w:tc>
          <w:tcPr>
            <w:tcW w:type="dxa" w:w="2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Reproducibility metadata for each pipeline run</w:t>
            </w:r>
          </w:p>
        </w:tc>
      </w:tr>
    </w:tbl>
    <w:p w14:paraId="27F38E93" w14:textId="77777777" w:rsidR="00655D54" w:rsidRDefault="00000000">
      <w:pPr>
        <w:pStyle w:val="Heading2"/>
        <w:rPr>
          <w:rFonts w:ascii="Arial" w:eastAsia="Arial" w:hAnsi="Arial" w:cs="Arial"/>
        </w:rPr>
      </w:pPr>
      <w:r>
        <w:rPr>
          <w:rFonts w:ascii="Arial" w:eastAsia="Arial" w:hAnsi="Arial" w:cs="Arial"/>
        </w:rPr>
        <w:t>3.3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lastRenderedPageBreak/>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77777777"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34AF364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655D54" w14:paraId="734D4986" w14:textId="77777777">
        <w:trPr>
          <w:jc w:val="center"/>
        </w:trPr>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40C1ED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Variant</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6AAEF7F6"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56B91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Movie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AA977A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Game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725FC4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Overlap %</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EFFF22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Used in</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BFA7A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Filter</w:t>
            </w:r>
          </w:p>
        </w:tc>
      </w:tr>
      <w:tr w:rsidR="00655D54" w14:paraId="51DABB89"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70A7F0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8B9332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EC046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071EE3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DCB6A3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B5FA4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50124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No k-core</w:t>
            </w:r>
          </w:p>
        </w:tc>
      </w:tr>
      <w:tr w:rsidR="00655D54" w14:paraId="233381E5"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F594D03"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EC488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6A8289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2AA4E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05805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1999E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32A012"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movies≥5, games≥1</w:t>
            </w:r>
          </w:p>
        </w:tc>
      </w:tr>
      <w:tr w:rsidR="00655D54" w14:paraId="61F40E0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A0B003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314FA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6C8BE8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E420EA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3996D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5D16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92740F7"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movies≥10, games≥1</w:t>
            </w:r>
          </w:p>
        </w:tc>
      </w:tr>
      <w:tr w:rsidR="00655D54" w14:paraId="4428BD18"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CC367B"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lastRenderedPageBreak/>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52EF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AD057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B80B8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29E73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3C32B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169D54D"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 pop≥10</w:t>
            </w:r>
          </w:p>
        </w:tc>
      </w:tr>
      <w:tr w:rsidR="00655D54" w14:paraId="074E6D6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9EB1E8D"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C000972"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8774EC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416059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BE0DE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CB45A8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E023F9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 split 80/20</w:t>
            </w:r>
          </w:p>
        </w:tc>
      </w:tr>
    </w:tbl>
    <w:p w14:paraId="66C8EC2D" w14:textId="77777777" w:rsidR="00655D54" w:rsidRDefault="00655D54">
      <w:pPr>
        <w:pBdr>
          <w:top w:val="nil"/>
          <w:left w:val="nil"/>
          <w:bottom w:val="nil"/>
          <w:right w:val="nil"/>
          <w:between w:val="nil"/>
        </w:pBdr>
        <w:spacing w:after="120" w:line="324" w:lineRule="auto"/>
        <w:ind w:left="360"/>
        <w:rPr>
          <w:rFonts w:ascii="Arial" w:eastAsia="Arial" w:hAnsi="Arial" w:cs="Arial"/>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3.4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3.4.1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3.4.2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lastRenderedPageBreak/>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lastRenderedPageBreak/>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w:t>
        <w:lastRenderedPageBreak/>
        <w:t>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Maya now faces her real problem: she wants to recommend games to movie-only patrons, but her movie ledger and her game ledger were always kept as two separate notebooks that never talked to </w:t>
              <w:lastRenderedPageBreak/>
              <w:t>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w:t>
              <w:lastRenderedPageBreak/>
              <w:t>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 xml:space="preserve">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w:t>
              <w:lastRenderedPageBreak/>
              <w:t>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lastRenderedPageBreak/>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w:t>
        <w:lastRenderedPageBreak/>
        <w:t>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7BE25268" w14:textId="77777777" w:rsidR="00655D54" w:rsidRDefault="00655D54">
      <w:pPr>
        <w:spacing w:after="120"/>
        <w:rPr>
          <w:rFonts w:ascii="Arial" w:eastAsia="Arial" w:hAnsi="Arial" w:cs="Arial"/>
          <w:sz w:val="20"/>
          <w:szCs w:val="20"/>
        </w:rPr>
      </w:pPr>
    </w:p>
    <w:p w14:paraId="34804F5A"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The arc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Question</w:t>
            </w:r>
          </w:p>
        </w:tc>
        <w:tc>
          <w:tcPr>
            <w:tcW w:type="dxa" w:w="4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Key result</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What it unlocked</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L1</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Explicit vs implicit ranking</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MF-BPR Recall@10 = 0.0130 vs MF-Explicit 0.0025 (5.2×); NDCG@10 +6.7×</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Train every later model implicitly</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L2</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CDR at realistic overlap (5.2%)</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LightGCN 0.0290 leads; MF-BPR 0.0170, EMCDR 0.0160, NCF 0.0120, PTUPCDR 0.0085, CMF 0.0050 — every CDR loses to MF-BPR</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Showed overlap is a candidate cause</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L3</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100% overlap cohort</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PTUPCDR 0.0085 → 0.0320 (+276%); CMF +180%; EMCDR +53%. LightGCN still leads at 0.0555</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Confirmed CDR needs bridge users</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L4</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Source-rich (movies ≥ 10)</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PTUPCDR gap to LightGCN narrows from −42% → −17%; EMCDR −56% → −34%; LightGCN itself drops 37%</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Richer source = better transfer</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L5</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Catalog sharpening (pop ≥ 10)</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Movie catalog 39K → 10K (−74%); NCF +54% (0.0140 → 0.0215); CDR within 12% of L4; balanced 1:1 source/target catalog</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Cleaner beats bigger</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L6</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Cold-start (zero games)</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Popularity 0.0381 best; EMCDR 0.0334 (3.3× LightGCN), PTUPCDR 0.0301 (3.0×), CMF 0.0210 (2.1×); LightGCN 0.0100; MF-BPR ~ 0</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CDR essential for zero-history users</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L7</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Content-aware CDR (SBERT)</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SBERT-CDR 0.0330 ≈ LightGCN 0.0335 overall (98.5%); SBERT 0.1341 vs LightGCN 0.0122 on the one-shot-niche subgroup (11× win)</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Content fills long-tail blind spot</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L8</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Co-occurrence rerank</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LLO: every model except CMF gains +5–48% (EMCDR +48%, NCF +44%, BiTGCF +25%). Cold-start: LightGCN 0.0080 → 0.0310 (+289%); EMCDR +31%</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Universal zero-cost lift layer</w:t>
            </w:r>
          </w:p>
        </w:tc>
      </w:tr>
    </w:tbl>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4AA42F67" w14:textId="77777777" w:rsidR="00655D54" w:rsidRDefault="00000000">
      <w:pPr>
        <w:rPr>
          <w:rFonts w:ascii="Roboto" w:eastAsia="Roboto" w:hAnsi="Roboto" w:cs="Roboto"/>
          <w:color w:val="1F1F1F"/>
          <w:sz w:val="14"/>
          <w:szCs w:val="14"/>
          <w:shd w:val="clear" w:color="auto" w:fill="F0F4F9"/>
        </w:rPr>
      </w:pPr>
      <w:r>
        <w:rPr>
          <w:rFonts w:ascii="Roboto" w:eastAsia="Roboto" w:hAnsi="Roboto" w:cs="Roboto"/>
          <w:color w:val="1F1F1F"/>
          <w:highlight w:val="white"/>
        </w:rPr>
        <w:t xml:space="preserve">The biggest surprise in this journey wasn't finding a "champion" model, but realizing that the most effective recommendation system is actually a thoughtful hybrid. Initially prior to all the benchmarking, when we were reading about the CDR inner working mechanism, we were very </w:t>
        <w:lastRenderedPageBreak/>
        <w:t>fascinated, like a child just discovering new cool stuff. Our initial excitement over complex Cross-Domain Recommendation (CDR) algorithms quickly evaporated, as I learned they fail horribly when there is a lack of bridge data (low user overlap).</w:t>
      </w:r>
    </w:p>
    <w:p w14:paraId="17BB7237" w14:textId="77777777" w:rsidR="00655D54" w:rsidRDefault="00655D54">
      <w:pPr>
        <w:shd w:val="clear" w:color="auto" w:fill="FFFFFF"/>
        <w:rPr>
          <w:rFonts w:ascii="Roboto" w:eastAsia="Roboto" w:hAnsi="Roboto" w:cs="Roboto"/>
          <w:color w:val="1F1F1F"/>
        </w:rPr>
      </w:pPr>
    </w:p>
    <w:p w14:paraId="0D195BC2" w14:textId="77777777" w:rsidR="00655D54" w:rsidRDefault="00000000">
      <w:pPr>
        <w:shd w:val="clear" w:color="auto" w:fill="FFFFFF"/>
      </w:pPr>
      <w:r>
        <w:rPr>
          <w:rFonts w:ascii="Roboto" w:eastAsia="Roboto" w:hAnsi="Roboto" w:cs="Roboto"/>
          <w:color w:val="1F1F1F"/>
          <w:highlight w:val="white"/>
        </w:rPr>
        <w:t xml:space="preserve">The real breakthrough was realizing that the optimal model is entirely </w:t>
      </w:r>
      <w:r>
        <w:rPr>
          <w:rFonts w:ascii="Roboto" w:eastAsia="Roboto" w:hAnsi="Roboto" w:cs="Roboto"/>
          <w:b/>
          <w:bCs/>
          <w:color w:val="1F1F1F"/>
          <w:highlight w:val="white"/>
        </w:rPr>
        <w:t>context-dependent</w:t>
      </w:r>
      <w:r>
        <w:rPr>
          <w:rFonts w:ascii="Roboto" w:eastAsia="Roboto" w:hAnsi="Roboto" w:cs="Roboto"/>
          <w:color w:val="1F1F1F"/>
          <w:highlight w:val="white"/>
        </w:rPr>
        <w:t xml:space="preserve">. CDR is </w:t>
      </w:r>
      <w:r>
        <w:rPr>
          <w:rFonts w:ascii="Roboto" w:eastAsia="Roboto" w:hAnsi="Roboto" w:cs="Roboto"/>
          <w:b/>
          <w:bCs/>
          <w:color w:val="1F1F1F"/>
          <w:highlight w:val="white"/>
        </w:rPr>
        <w:t>essential</w:t>
      </w:r>
      <w:r>
        <w:rPr>
          <w:rFonts w:ascii="Roboto" w:eastAsia="Roboto" w:hAnsi="Roboto" w:cs="Roboto"/>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Pr>
          <w:rFonts w:ascii="Roboto" w:eastAsia="Roboto" w:hAnsi="Roboto" w:cs="Roboto"/>
          <w:b/>
          <w:bCs/>
          <w:color w:val="1F1F1F"/>
          <w:highlight w:val="white"/>
        </w:rPr>
        <w:t>Routing Decision Rule</w:t>
      </w:r>
      <w:r>
        <w:rPr>
          <w:rFonts w:ascii="Roboto" w:eastAsia="Roboto" w:hAnsi="Roboto" w:cs="Roboto"/>
          <w:color w:val="1F1F1F"/>
          <w:highlight w:val="white"/>
        </w:rPr>
        <w:t xml:space="preserve"> to match each user to the most effective algorithm.</w:t>
      </w:r>
    </w:p>
    <w:p w14:paraId="20E1E8A9" w14:textId="77777777" w:rsidR="00655D54" w:rsidRDefault="00655D54">
      <w:pPr>
        <w:shd w:val="clear" w:color="auto" w:fill="FFFFFF"/>
        <w:rPr>
          <w:rFonts w:ascii="Roboto" w:eastAsia="Roboto" w:hAnsi="Roboto" w:cs="Roboto"/>
          <w:color w:val="1F1F1F"/>
        </w:rPr>
      </w:pPr>
    </w:p>
    <w:p w14:paraId="15A7644D" w14:textId="77777777" w:rsidR="00655D54" w:rsidRDefault="00000000">
      <w:pPr>
        <w:rPr>
          <w:rFonts w:ascii="Arial" w:eastAsia="Arial" w:hAnsi="Arial" w:cs="Arial"/>
          <w:sz w:val="20"/>
          <w:szCs w:val="20"/>
        </w:rPr>
      </w:pPr>
      <w:r>
        <w:rPr>
          <w:rFonts w:ascii="Roboto" w:eastAsia="Roboto" w:hAnsi="Roboto" w:cs="Roboto"/>
          <w:color w:val="1F1F1F"/>
          <w:highlight w:val="white"/>
        </w:rPr>
        <w:t xml:space="preserve">Most importantly, the whole project taught me the immense power of </w:t>
      </w:r>
      <w:r>
        <w:rPr>
          <w:rFonts w:ascii="Roboto" w:eastAsia="Roboto" w:hAnsi="Roboto" w:cs="Roboto"/>
          <w:b/>
          <w:bCs/>
          <w:color w:val="1F1F1F"/>
          <w:highlight w:val="white"/>
        </w:rPr>
        <w:t>simplicity</w:t>
      </w:r>
      <w:r>
        <w:rPr>
          <w:rFonts w:ascii="Roboto" w:eastAsia="Roboto" w:hAnsi="Roboto" w:cs="Roboto"/>
          <w:color w:val="1F1F1F"/>
          <w:highlight w:val="white"/>
        </w:rPr>
        <w:t xml:space="preserve">. After spending weeks tuning complex deep learning architectures, the ultimate performance booster was the simple, training-free </w:t>
      </w:r>
      <w:r>
        <w:rPr>
          <w:rFonts w:ascii="Roboto" w:eastAsia="Roboto" w:hAnsi="Roboto" w:cs="Roboto"/>
          <w:b/>
          <w:bCs/>
          <w:color w:val="1F1F1F"/>
          <w:highlight w:val="white"/>
        </w:rPr>
        <w:t>Co-occurrence Reranking layer</w:t>
      </w:r>
      <w:r>
        <w:rPr>
          <w:rFonts w:ascii="Roboto" w:eastAsia="Roboto" w:hAnsi="Roboto" w:cs="Roboto"/>
          <w:color w:val="1F1F1F"/>
          <w:highlight w:val="white"/>
        </w:rPr>
        <w:t xml:space="preserve"> (L8). This single post-processing step provided a universal lift for almost every model (up to +48% LLO) and rescued LightGCN from cold-start failure (+289%). </w:t>
      </w:r>
    </w:p>
    <w:p w14:paraId="51BFADB2" w14:textId="77777777" w:rsidR="00655D54" w:rsidRDefault="00000000">
      <w:pPr>
        <w:pStyle w:val="Heading2"/>
        <w:spacing w:before="240"/>
        <w:rPr>
          <w:rFonts w:ascii="Arial" w:eastAsia="Arial" w:hAnsi="Arial" w:cs="Arial"/>
          <w:sz w:val="20"/>
          <w:szCs w:val="20"/>
        </w:rPr>
      </w:pPr>
      <w:bookmarkStart w:id="14" w:name="_835iko740b4r" w:colFirst="0" w:colLast="0"/>
      <w:bookmarkEnd w:id="14"/>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E5DDC0" wp14:editId="3379079C">
            <wp:extent cx="5972810" cy="3898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72810" cy="3898900"/>
                    </a:xfrm>
                    <a:prstGeom prst="rect">
                      <a:avLst/>
                    </a:prstGeom>
                    <a:ln/>
                  </pic:spPr>
                </pic:pic>
              </a:graphicData>
            </a:graphic>
          </wp:inline>
        </w:drawing>
      </w:r>
    </w:p>
    <w:p>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In short: route by target-domain history depth. </w:t>
      </w:r>
      <w:r>
        <w:rPr>
          <w:rFonts w:ascii="Arial" w:eastAsia="Arial" w:hAnsi="Arial" w:cs="Arial"/>
          <w:b/>
          <w:bCs/>
          <w:color w:val="1F2933"/>
          <w:sz w:val="20"/>
          <w:szCs w:val="20"/>
        </w:rPr>
        <w:t xml:space="preserve">Zero games (cold-start) </w:t>
      </w:r>
      <w:r>
        <w:rPr>
          <w:rFonts w:ascii="Arial" w:eastAsia="Arial" w:hAnsi="Arial" w:cs="Arial"/>
          <w:color w:val="1F2933"/>
          <w:sz w:val="20"/>
          <w:szCs w:val="20"/>
        </w:rPr>
        <w:t xml:space="preserve">→ EMCDR + cooc; </w:t>
      </w:r>
      <w:r>
        <w:rPr>
          <w:rFonts w:ascii="Arial" w:eastAsia="Arial" w:hAnsi="Arial" w:cs="Arial"/>
          <w:b/>
          <w:bCs/>
          <w:color w:val="1F2933"/>
          <w:sz w:val="20"/>
          <w:szCs w:val="20"/>
        </w:rPr>
        <w:t xml:space="preserve">≥ 1 game (warm) </w:t>
      </w:r>
      <w:r>
        <w:rPr>
          <w:rFonts w:ascii="Arial" w:eastAsia="Arial" w:hAnsi="Arial" w:cs="Arial"/>
          <w:color w:val="1F2933"/>
          <w:sz w:val="20"/>
          <w:szCs w:val="20"/>
        </w:rPr>
        <w:t xml:space="preserve">→ LightGCN + cooc.</w:t>
      </w:r>
    </w:p>
    <w:p>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EMCDR’s global movie→game mapping works without any target edges (Lesson 6); LightGCN’s graph propagation dominates LLO once even a single game edge exists (Lessons 2, 4). The co-occurrence rerank sits on top of both lanes as a universal post-processor (Lesson 8). One side path: SBERT-CDR + cooc serves the niche long tail when popularity drops out (Lesson 7).</w:t>
      </w:r>
    </w:p>
    <w:p w14:paraId="39B8074A" w14:textId="77777777" w:rsidR="00655D54" w:rsidRDefault="00655D54">
      <w:pPr>
        <w:spacing w:after="120" w:line="324" w:lineRule="auto"/>
        <w:rPr>
          <w:rFonts w:ascii="Arial" w:eastAsia="Arial" w:hAnsi="Arial" w:cs="Arial"/>
          <w:color w:val="191919"/>
          <w:sz w:val="20"/>
          <w:szCs w:val="20"/>
        </w:rPr>
      </w:pPr>
    </w:p>
    <w:p w14:paraId="63FC7CB2" w14:textId="77777777" w:rsidR="00655D54" w:rsidRDefault="00655D54">
      <w:pPr>
        <w:spacing w:after="120" w:line="324" w:lineRule="auto"/>
        <w:rPr>
          <w:rFonts w:ascii="Arial" w:eastAsia="Arial" w:hAnsi="Arial" w:cs="Arial"/>
          <w:sz w:val="20"/>
          <w:szCs w:val="20"/>
        </w:rPr>
      </w:pPr>
    </w:p>
    <w:p w14:paraId="68489832"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lastRenderedPageBreak/>
        <w:t>6.  Hyperparameter Tuning</w:t>
      </w:r>
    </w:p>
    <w:p w14:paraId="4403A6B5" w14:textId="77777777" w:rsidR="00655D54" w:rsidRDefault="00655D54">
      <w:pPr>
        <w:pBdr>
          <w:bottom w:val="single" w:sz="12" w:space="1" w:color="2E5AAC"/>
        </w:pBdr>
        <w:spacing w:after="240"/>
        <w:rPr>
          <w:rFonts w:ascii="Arial" w:eastAsia="Arial" w:hAnsi="Arial" w:cs="Arial"/>
          <w:sz w:val="20"/>
          <w:szCs w:val="20"/>
        </w:rPr>
      </w:pPr>
    </w:p>
    <w:p w14:paraId="5B1F40D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5907AF87" w14:textId="77777777" w:rsidR="00655D54" w:rsidRDefault="00655D54">
      <w:pPr>
        <w:spacing w:after="120" w:line="300" w:lineRule="auto"/>
        <w:rPr>
          <w:rFonts w:ascii="Arial" w:eastAsia="Arial" w:hAnsi="Arial" w:cs="Arial"/>
          <w:sz w:val="20"/>
          <w:szCs w:val="20"/>
        </w:rPr>
      </w:pP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2200"/>
        <w:gridCol w:w="3360"/>
      </w:tblGrid>
      <w:tr w:rsidR="00655D54" w14:paraId="08B8F831" w14:textId="77777777">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5C11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2C2F53" w14:textId="77777777" w:rsidR="00655D54" w:rsidRDefault="00000000">
            <w:pPr>
              <w:rPr>
                <w:rFonts w:ascii="Arial" w:eastAsia="Arial" w:hAnsi="Arial" w:cs="Arial"/>
                <w:sz w:val="20"/>
                <w:szCs w:val="20"/>
              </w:rPr>
            </w:pPr>
            <w:r>
              <w:rPr>
                <w:rFonts w:ascii="Arial" w:eastAsia="Arial" w:hAnsi="Arial" w:cs="Arial"/>
                <w:b/>
                <w:bCs/>
                <w:color w:val="1F2933"/>
                <w:sz w:val="20"/>
                <w:szCs w:val="20"/>
              </w:rPr>
              <w:t>Parameter</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5203295"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Default → Tuned</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415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Impact</w:t>
            </w:r>
          </w:p>
        </w:tc>
      </w:tr>
      <w:tr w:rsidR="00655D54" w14:paraId="4142B522"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1629D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512115" w14:textId="77777777" w:rsidR="00655D54" w:rsidRDefault="00000000">
            <w:pPr>
              <w:rPr>
                <w:rFonts w:ascii="Arial" w:eastAsia="Arial" w:hAnsi="Arial" w:cs="Arial"/>
                <w:sz w:val="20"/>
                <w:szCs w:val="20"/>
              </w:rPr>
            </w:pPr>
            <w:r>
              <w:rPr>
                <w:rFonts w:ascii="Arial" w:eastAsia="Arial" w:hAnsi="Arial" w:cs="Arial"/>
                <w:color w:val="1F2933"/>
                <w:sz w:val="20"/>
                <w:szCs w:val="20"/>
              </w:rPr>
              <w:t>learning rate × source weight α</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6F110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lr 1e-2 → 1e-3; α 0.5 → 0.2</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EBF5D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 doubles (0.020 → 0.041); α balances the 4× source/target data skew.</w:t>
            </w:r>
          </w:p>
        </w:tc>
      </w:tr>
      <w:tr w:rsidR="00655D54" w14:paraId="48BB002E"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2BC18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AB37C6" w14:textId="77777777" w:rsidR="00655D54" w:rsidRDefault="00000000">
            <w:pPr>
              <w:rPr>
                <w:rFonts w:ascii="Arial" w:eastAsia="Arial" w:hAnsi="Arial" w:cs="Arial"/>
                <w:sz w:val="20"/>
                <w:szCs w:val="20"/>
              </w:rPr>
            </w:pPr>
            <w:r>
              <w:rPr>
                <w:rFonts w:ascii="Arial" w:eastAsia="Arial" w:hAnsi="Arial" w:cs="Arial"/>
                <w:color w:val="1F2933"/>
                <w:sz w:val="20"/>
                <w:szCs w:val="20"/>
              </w:rPr>
              <w:t>co-occurrence blend λ</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876C7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λ 0 → 0.05</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58DA4A" w14:textId="77777777" w:rsidR="00655D54" w:rsidRDefault="00000000">
            <w:pPr>
              <w:rPr>
                <w:rFonts w:ascii="Arial" w:eastAsia="Arial" w:hAnsi="Arial" w:cs="Arial"/>
                <w:sz w:val="20"/>
                <w:szCs w:val="20"/>
              </w:rPr>
            </w:pPr>
            <w:r>
              <w:rPr>
                <w:rFonts w:ascii="Arial" w:eastAsia="Arial" w:hAnsi="Arial" w:cs="Arial"/>
                <w:color w:val="1F2933"/>
                <w:sz w:val="20"/>
                <w:szCs w:val="20"/>
              </w:rPr>
              <w:t>+31% on Recall@10. Past λ = 0.1 the cooc prior dominates and personalisation collapses.</w:t>
            </w:r>
          </w:p>
        </w:tc>
      </w:tr>
      <w:tr w:rsidR="00655D54" w14:paraId="4B4E696E"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02C080"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9FC100" w14:textId="77777777" w:rsidR="00655D54" w:rsidRDefault="00000000">
            <w:pPr>
              <w:rPr>
                <w:rFonts w:ascii="Arial" w:eastAsia="Arial" w:hAnsi="Arial" w:cs="Arial"/>
                <w:sz w:val="20"/>
                <w:szCs w:val="20"/>
              </w:rPr>
            </w:pPr>
            <w:r>
              <w:rPr>
                <w:rFonts w:ascii="Arial" w:eastAsia="Arial" w:hAnsi="Arial" w:cs="Arial"/>
                <w:color w:val="1F2933"/>
                <w:sz w:val="20"/>
                <w:szCs w:val="20"/>
              </w:rPr>
              <w:t>propagation depth K</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BBCFF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 3 → 4</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258AE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plateaus at K ≥ 2; K = 4 gives a small additional gain at negligible extra cost.</w:t>
            </w:r>
          </w:p>
        </w:tc>
      </w:tr>
      <w:tr w:rsidR="00655D54" w14:paraId="284032F4"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6C91"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864B4B8" w14:textId="77777777" w:rsidR="00655D54" w:rsidRDefault="00000000">
            <w:pPr>
              <w:rPr>
                <w:rFonts w:ascii="Arial" w:eastAsia="Arial" w:hAnsi="Arial" w:cs="Arial"/>
                <w:sz w:val="20"/>
                <w:szCs w:val="20"/>
              </w:rPr>
            </w:pPr>
            <w:r>
              <w:rPr>
                <w:rFonts w:ascii="Arial" w:eastAsia="Arial" w:hAnsi="Arial" w:cs="Arial"/>
                <w:color w:val="1F2933"/>
                <w:sz w:val="20"/>
                <w:szCs w:val="20"/>
              </w:rPr>
              <w:t>number of experts</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75B99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K_experts 8 → 2</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5E4314" w14:textId="77777777" w:rsidR="00655D54" w:rsidRDefault="00000000">
            <w:pPr>
              <w:rPr>
                <w:rFonts w:ascii="Arial" w:eastAsia="Arial" w:hAnsi="Arial" w:cs="Arial"/>
                <w:sz w:val="20"/>
                <w:szCs w:val="20"/>
              </w:rPr>
            </w:pPr>
            <w:r>
              <w:rPr>
                <w:rFonts w:ascii="Arial" w:eastAsia="Arial" w:hAnsi="Arial" w:cs="Arial"/>
                <w:color w:val="1F2933"/>
                <w:sz w:val="20"/>
                <w:szCs w:val="20"/>
              </w:rPr>
              <w:t>Fewer experts generalise better when overlap is limited; more only helps at very dense overlap.</w:t>
            </w:r>
          </w:p>
        </w:tc>
      </w:tr>
    </w:tbl>
    <w:p w14:paraId="41EF8891" w14:textId="77777777" w:rsidR="00655D54" w:rsidRDefault="00000000">
      <w:pPr>
        <w:spacing w:before="120" w:after="320"/>
        <w:rPr>
          <w:rFonts w:ascii="Arial" w:eastAsia="Arial" w:hAnsi="Arial" w:cs="Arial"/>
          <w:sz w:val="20"/>
          <w:szCs w:val="20"/>
        </w:rPr>
      </w:pPr>
      <w:r>
        <w:rPr>
          <w:rFonts w:ascii="Arial" w:eastAsia="Arial" w:hAnsi="Arial" w:cs="Arial"/>
          <w:b/>
          <w:bCs/>
          <w:color w:val="2E5AAC"/>
          <w:sz w:val="20"/>
          <w:szCs w:val="20"/>
        </w:rPr>
        <w:t>TABLE 8</w:t>
      </w:r>
      <w:r>
        <w:rPr>
          <w:rFonts w:ascii="Arial" w:eastAsia="Arial" w:hAnsi="Arial" w:cs="Arial"/>
          <w:sz w:val="20"/>
          <w:szCs w:val="20"/>
        </w:rPr>
        <w:t xml:space="preserve">   </w:t>
      </w:r>
      <w:r>
        <w:rPr>
          <w:rFonts w:ascii="Arial" w:eastAsia="Arial" w:hAnsi="Arial" w:cs="Arial"/>
          <w:i/>
          <w:iCs/>
          <w:color w:val="52606D"/>
          <w:sz w:val="20"/>
          <w:szCs w:val="20"/>
        </w:rPr>
        <w:t>Hyperparameter fixes applied to each model; all values tuned on the Lesson 3 cohort and held fixed in Chapters 5 and 7.</w:t>
      </w:r>
    </w:p>
    <w:p w14:paraId="1D56F8EC" w14:textId="77777777" w:rsidR="00655D54" w:rsidRDefault="00000000">
      <w:pPr>
        <w:spacing w:after="240" w:line="300" w:lineRule="auto"/>
        <w:rPr>
          <w:rFonts w:ascii="Arial" w:eastAsia="Arial" w:hAnsi="Arial" w:cs="Arial"/>
          <w:sz w:val="20"/>
          <w:szCs w:val="20"/>
        </w:rPr>
      </w:pPr>
      <w:r>
        <w:rPr>
          <w:rFonts w:ascii="Arial Unicode MS" w:eastAsia="Arial Unicode MS" w:hAnsi="Arial Unicode MS" w:cs="Arial Unicode MS"/>
          <w:color w:val="1F2933"/>
          <w:sz w:val="20"/>
          <w:szCs w:val="20"/>
        </w:rPr>
        <w:t>Two broader patterns emerge. First, optimiser choice dictates the feasible learning-rate range — Adam-based models need lr ≈ 1e-3, while plain-SGD implementations need lr ≈ 1e-2; using the wrong range either diverges or under-trains. Second, every CDR-style blend parameter (CMF's α, EMCDR's λ, SBERT-CDR's source_weight) has a single interior sweet spot where the source and target signals balance — push it too far in either direction and one signal drowns the other. These fixes are responsible for several of the CDR comparisons in Chapter 5 looking favourable rather than flat.</w:t>
      </w:r>
    </w:p>
    <w:p w14:paraId="2C982BD6"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032CE9BA" w14:textId="77777777" w:rsidR="00655D54" w:rsidRDefault="00000000">
      <w:pPr>
        <w:spacing w:after="120" w:line="300" w:lineRule="auto"/>
      </w:pPr>
      <w:r>
        <w:rPr>
          <w:rFonts w:ascii="Arial" w:eastAsia="Arial" w:hAnsi="Arial" w:cs="Arial"/>
          <w:color w:val="1F2933"/>
          <w:sz w:val="20"/>
          <w:szCs w:val="20"/>
        </w:rPr>
        <w:t>The system is built from four cooperating components, all visible in Figure 32. A browser-based client renders the UI and talks to a FastAPI backend over a REST API; the backend handles request routing, recommendation assembly, and reads/writes user data from a SQLite database; an offline machine-learning component periodically processes interactions and exports model artifacts that the backend loads into an in-memory store for sub-millisecond scoring; and a scheduler triggers that ML component on a fixed cadence so the model stays current as new ratings accumulate.</w:t>
      </w:r>
    </w:p>
    <w:p w14:paraId="6D0F33FF" w14:textId="77777777" w:rsidR="00655D54" w:rsidRDefault="00000000">
      <w:pPr>
        <w:spacing w:before="120" w:after="0" w:line="276" w:lineRule="auto"/>
        <w:jc w:val="center"/>
      </w:pPr>
      <w:r>
        <w:rPr>
          <w:noProof/>
        </w:rPr>
        <w:drawing>
          <wp:inline distT="0" distB="0" distL="0" distR="0" wp14:anchorId="4525C4FD" wp14:editId="5502E52A">
            <wp:extent cx="6500000" cy="3550000"/>
            <wp:effectExtent l="0" t="0" r="0" b="0"/>
            <wp:docPr id="1776504427" name="fig_system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7"/>
                    <a:stretch>
                      <a:fillRect/>
                    </a:stretch>
                  </pic:blipFill>
                  <pic:spPr>
                    <a:xfrm>
                      <a:off x="0" y="0"/>
                      <a:ext cx="6500000" cy="3550000"/>
                    </a:xfrm>
                    <a:prstGeom prst="rect">
                      <a:avLst/>
                    </a:prstGeom>
                  </pic:spPr>
                </pic:pic>
              </a:graphicData>
            </a:graphic>
          </wp:inline>
        </w:drawing>
      </w: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Component</w:t>
            </w:r>
          </w:p>
        </w:tc>
        <w:tc>
          <w:tcPr>
            <w:tcW w:type="dxa" w:w="4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Role</w:t>
            </w:r>
          </w:p>
        </w:tc>
        <w:tc>
          <w:tcPr>
            <w:tcW w:type="dxa" w:w="38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Implementation notes</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Client</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Renders UI, rating widgets, multi-row recommendation feed; no scoring logic.</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Static index.html; jQuery SPA; calls REST endpoints (/api/recommendations, /api/ratings, /api/users) over HTTP/HTTPS.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Backend</w:t>
            </w:r>
          </w:p>
        </w:tc>
        <w:tc>
          <w:tcPr>
            <w:tcW w:type="dxa" w:w="4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Handles every API request and the entire business logic: segment classification, row routing, embedding lookup, scoring, co-occurrence rerank, deduplication, JSON serialisation.</w:t>
            </w:r>
          </w:p>
        </w:tc>
        <w:tc>
          <w:tcPr>
            <w:tcW w:type="dxa" w:w="3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FastAPI process; loads model artifacts into in-memory NumPy store at startup; sub-millisecond scoring.</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Database</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Persistent state — user accounts, items (movies and games metadata), ratings/interactions, auxiliary tables.</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Single WAL-mode SQLite file (demo.db); no Postgres, no ORM migrations.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ML component</w:t>
            </w:r>
          </w:p>
        </w:tc>
        <w:tc>
          <w:tcPr>
            <w:tcW w:type="dxa" w:w="4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Offline pipeline producing the embedding artifacts the backend serves from. Runs out-of-process and decoupled from request handling.</w:t>
            </w:r>
          </w:p>
        </w:tc>
        <w:tc>
          <w:tcPr>
            <w:tcW w:type="dxa" w:w="3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Five stages: data extraction → processing → model training → export → in-memory boost. Outputs NumPy .npy files.</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Scheduler</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Periodically triggers the ML component so the exported artifacts catch up with newly written ratings.</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Cron job; default cadence every 1 hour; backend reloads new artifacts at the next request.</w:t>
            </w:r>
          </w:p>
        </w:tc>
      </w:tr>
    </w:tbl>
    <w:p w14:paraId="40234D03" w14:textId="77777777" w:rsidR="00655D54" w:rsidRDefault="00000000">
      <w:pPr>
        <w:pStyle w:val="Heading2"/>
        <w:spacing w:before="240"/>
      </w:pPr>
      <w:r>
        <w:rPr>
          <w:rFonts w:ascii="Arial" w:eastAsia="Arial" w:hAnsi="Arial" w:cs="Arial"/>
          <w:color w:val="2E5AAC"/>
        </w:rPr>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lastRenderedPageBreak/>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t>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lastRenderedPageBreak/>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2F6E69F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8.5  Key Design Decisions</w:t>
      </w:r>
    </w:p>
    <w:p w14:paraId="39E34022" w14:textId="77777777" w:rsidR="00655D54" w:rsidRDefault="00655D54">
      <w:pPr>
        <w:pBdr>
          <w:bottom w:val="single" w:sz="12" w:space="1" w:color="2E5AAC"/>
        </w:pBdr>
        <w:spacing w:after="240"/>
        <w:rPr>
          <w:rFonts w:ascii="Arial" w:eastAsia="Arial" w:hAnsi="Arial" w:cs="Arial"/>
          <w:sz w:val="20"/>
          <w:szCs w:val="20"/>
        </w:rPr>
      </w:pPr>
    </w:p>
    <w:tbl>
      <w:tblPr>
        <w:tblStyle w:val="afffff8"/>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655D54" w14:paraId="21685A46" w14:textId="77777777">
        <w:trPr>
          <w:jc w:val="center"/>
        </w:trPr>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5E201C4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10EAF93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655D54" w14:paraId="1FB017B1"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B5C0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3F957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655D54" w14:paraId="62B6904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8991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B02C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655D54" w14:paraId="7A10E6CA"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0C9B3C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502DE2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655D54" w14:paraId="6F810134"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72B9C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D4F1FB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655D54" w14:paraId="12833EA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31811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game rows</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D65B95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game row demonstrates a different paradigm: collaborative, CDR, content, behavioral, popularity — the full research spectrum, side-by-side.</w:t>
            </w:r>
          </w:p>
        </w:tc>
      </w:tr>
      <w:tr w:rsidR="00655D54" w14:paraId="703E086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006770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11783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16D4841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71DC8D85"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jQuery SPA over Next.js</w:t>
      </w:r>
    </w:p>
    <w:p w14:paraId="352E0A5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five game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4250BD4C"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In-memory embedding store instead of a vector DB</w:t>
      </w:r>
    </w:p>
    <w:p w14:paraId="2E7ADD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3A9D0A53"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SQLite for users and ratings</w:t>
      </w:r>
    </w:p>
    <w:p w14:paraId="35A1D2B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1C1E8C88"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lastRenderedPageBreak/>
        <w:t>Server-side row assembly</w:t>
      </w:r>
    </w:p>
    <w:p w14:paraId="5B01F82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five game rows are assembled on the server inside HybridRecommender.recommend_rows and returned as a single JSON payload. We deliberately avoided pushing row-level model selection to the client, because the routing rule from Section 7.1 depends on server-side state (segment classification from ratings) and because consistent cross-row deduplication and masking are easier to enforce in one place. The frontend only has to render whatever rows the server produced.</w:t>
      </w:r>
    </w:p>
    <w:p w14:paraId="7599B33A"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Fixed universal co-occurrence blend (λ = 0.05)</w:t>
      </w:r>
    </w:p>
    <w:p w14:paraId="247DA7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0397E3B0"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Offline training, online serving</w:t>
      </w:r>
    </w:p>
    <w:p w14:paraId="75067FF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15694829" w14:textId="77777777" w:rsidR="00655D54" w:rsidRDefault="00000000">
      <w:pPr>
        <w:pStyle w:val="Heading2"/>
        <w:spacing w:before="240"/>
      </w:pPr>
      <w:r>
        <w:rPr>
          <w:rFonts w:ascii="Arial" w:eastAsia="Arial" w:hAnsi="Arial" w:cs="Arial"/>
          <w:color w:val="2E5AAC"/>
        </w:rPr>
        <w:t>8.6  Model Selection Rationale</w:t>
      </w:r>
    </w:p>
    <w:p w14:paraId="0301FD61" w14:textId="77777777" w:rsidR="00655D54" w:rsidRDefault="00655D54">
      <w:pPr>
        <w:pBdr>
          <w:bottom w:val="single" w:sz="12" w:space="1" w:color="2E5AAC"/>
        </w:pBdr>
        <w:spacing w:after="240"/>
      </w:pPr>
    </w:p>
    <w:p w14:paraId="7E62135A" w14:textId="77777777" w:rsidR="00655D54" w:rsidRDefault="00000000">
      <w:pPr>
        <w:spacing w:after="120" w:line="300" w:lineRule="auto"/>
      </w:pPr>
      <w:r>
        <w:rPr>
          <w:rFonts w:ascii="Arial" w:eastAsia="Arial" w:hAnsi="Arial" w:cs="Arial"/>
          <w:color w:val="1F2933"/>
          <w:sz w:val="20"/>
          <w:szCs w:val="20"/>
        </w:rPr>
        <w:t>§8.2 described what each row does; this section explains why each row is built from the model it uses. Every row maps back to a concrete finding from Chapter 5 and to the Routing Decision Rule in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2900"/>
        <w:gridCol w:w="3160"/>
      </w:tblGrid>
      <w:tr w:rsidR="00655D54" w14:paraId="35F36999"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D6ED8" w14:textId="77777777" w:rsidR="00655D54" w:rsidRDefault="00000000">
            <w:r>
              <w:rPr>
                <w:rFonts w:ascii="Arial" w:eastAsia="Arial" w:hAnsi="Arial" w:cs="Arial"/>
                <w:b/>
                <w:bCs/>
                <w:color w:val="1F2933"/>
                <w:sz w:val="20"/>
                <w:szCs w:val="20"/>
              </w:rPr>
              <w:t>#</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3E20459" w14:textId="77777777" w:rsidR="00655D54" w:rsidRDefault="00000000">
            <w:r>
              <w:rPr>
                <w:rFonts w:ascii="Arial" w:eastAsia="Arial" w:hAnsi="Arial" w:cs="Arial"/>
                <w:b/>
                <w:bCs/>
                <w:color w:val="1F2933"/>
                <w:sz w:val="20"/>
                <w:szCs w:val="20"/>
              </w:rPr>
              <w:t>Row</w:t>
            </w:r>
          </w:p>
        </w:tc>
        <w:tc>
          <w:tcPr>
            <w:tcW w:w="2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CDA6CC" w14:textId="77777777" w:rsidR="00655D54" w:rsidRDefault="00000000">
            <w:r>
              <w:rPr>
                <w:rFonts w:ascii="Arial" w:eastAsia="Arial" w:hAnsi="Arial" w:cs="Arial"/>
                <w:b/>
                <w:bCs/>
                <w:color w:val="1F2933"/>
                <w:sz w:val="20"/>
                <w:szCs w:val="20"/>
              </w:rPr>
              <w:t>Model</w:t>
            </w:r>
          </w:p>
        </w:tc>
        <w:tc>
          <w:tcPr>
            <w:tcW w:w="3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849921" w14:textId="77777777" w:rsidR="00655D54" w:rsidRDefault="00000000">
            <w:r>
              <w:rPr>
                <w:rFonts w:ascii="Arial" w:eastAsia="Arial" w:hAnsi="Arial" w:cs="Arial"/>
                <w:b/>
                <w:bCs/>
                <w:color w:val="1F2933"/>
                <w:sz w:val="20"/>
                <w:szCs w:val="20"/>
              </w:rPr>
              <w:t>Lesson motivating it</w:t>
            </w:r>
          </w:p>
        </w:tc>
      </w:tr>
      <w:tr w:rsidR="00655D54" w14:paraId="425E6C2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6D318" w14:textId="77777777" w:rsidR="00655D54" w:rsidRDefault="00000000">
            <w:r>
              <w:rPr>
                <w:rFonts w:ascii="Arial" w:eastAsia="Arial" w:hAnsi="Arial" w:cs="Arial"/>
                <w:b/>
                <w:bCs/>
                <w:color w:val="1F2933"/>
                <w:sz w:val="20"/>
                <w:szCs w:val="20"/>
              </w:rPr>
              <w:t>1</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7D289F" w14:textId="77777777" w:rsidR="00655D54" w:rsidRDefault="00000000">
            <w:r>
              <w:rPr>
                <w:rFonts w:ascii="Arial" w:eastAsia="Arial" w:hAnsi="Arial" w:cs="Arial"/>
                <w:b/>
                <w:bCs/>
                <w:color w:val="1F2933"/>
                <w:sz w:val="20"/>
                <w:szCs w:val="20"/>
              </w:rPr>
              <w:t>Top Picks (primary)</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8C1AA1" w14:textId="77777777" w:rsidR="00655D54" w:rsidRDefault="00000000">
            <w:r>
              <w:rPr>
                <w:rFonts w:ascii="Arial" w:eastAsia="Arial" w:hAnsi="Arial" w:cs="Arial"/>
                <w:color w:val="1F2933"/>
                <w:sz w:val="20"/>
                <w:szCs w:val="20"/>
              </w:rPr>
              <w:t>LightGCN + cooc (warm) / EMCDR + cooc (cold)</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6552C" w14:textId="77777777" w:rsidR="00655D54" w:rsidRDefault="00000000">
            <w:r>
              <w:rPr>
                <w:rFonts w:ascii="Arial" w:eastAsia="Arial" w:hAnsi="Arial" w:cs="Arial"/>
                <w:color w:val="1F2933"/>
                <w:sz w:val="20"/>
                <w:szCs w:val="20"/>
              </w:rPr>
              <w:t>L6 cold-start → EMCDR; L2–L4 warm → LightGCN; L8 universal cooc rerank</w:t>
            </w:r>
          </w:p>
        </w:tc>
      </w:tr>
      <w:tr w:rsidR="00655D54" w14:paraId="0F90C418"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67CEB0" w14:textId="77777777" w:rsidR="00655D54" w:rsidRDefault="00000000">
            <w:r>
              <w:rPr>
                <w:rFonts w:ascii="Arial" w:eastAsia="Arial" w:hAnsi="Arial" w:cs="Arial"/>
                <w:b/>
                <w:bCs/>
                <w:color w:val="1F2933"/>
                <w:sz w:val="20"/>
                <w:szCs w:val="20"/>
              </w:rPr>
              <w:t>2</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710A76" w14:textId="77777777" w:rsidR="00655D54" w:rsidRDefault="00000000">
            <w:r>
              <w:rPr>
                <w:rFonts w:ascii="Arial" w:eastAsia="Arial" w:hAnsi="Arial" w:cs="Arial"/>
                <w:b/>
                <w:bCs/>
                <w:color w:val="1F2933"/>
                <w:sz w:val="20"/>
                <w:szCs w:val="20"/>
              </w:rPr>
              <w:t>Also Try (complementary)</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AB0026" w14:textId="77777777" w:rsidR="00655D54" w:rsidRDefault="00000000">
            <w:r>
              <w:rPr>
                <w:rFonts w:ascii="Arial" w:eastAsia="Arial" w:hAnsi="Arial" w:cs="Arial"/>
                <w:color w:val="1F2933"/>
                <w:sz w:val="20"/>
                <w:szCs w:val="20"/>
              </w:rPr>
              <w:t>opposite paradigm to row 1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317CE3" w14:textId="77777777" w:rsidR="00655D54" w:rsidRDefault="00000000">
            <w:r>
              <w:rPr>
                <w:rFonts w:ascii="Arial" w:eastAsia="Arial" w:hAnsi="Arial" w:cs="Arial"/>
                <w:color w:val="1F2933"/>
                <w:sz w:val="20"/>
                <w:szCs w:val="20"/>
              </w:rPr>
              <w:t>Forces a contrast lane next to the headline pick — helps the user discover items the routing rule would not otherwise show</w:t>
            </w:r>
          </w:p>
        </w:tc>
      </w:tr>
      <w:tr w:rsidR="00655D54" w14:paraId="05E0DCEF"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BF85F7" w14:textId="77777777" w:rsidR="00655D54" w:rsidRDefault="00000000">
            <w:r>
              <w:rPr>
                <w:rFonts w:ascii="Arial" w:eastAsia="Arial" w:hAnsi="Arial" w:cs="Arial"/>
                <w:b/>
                <w:bCs/>
                <w:color w:val="1F2933"/>
                <w:sz w:val="20"/>
                <w:szCs w:val="20"/>
              </w:rPr>
              <w:lastRenderedPageBreak/>
              <w:t>3</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8325E1" w14:textId="77777777" w:rsidR="00655D54" w:rsidRDefault="00000000">
            <w:r>
              <w:rPr>
                <w:rFonts w:ascii="Arial" w:eastAsia="Arial" w:hAnsi="Arial" w:cs="Arial"/>
                <w:b/>
                <w:bCs/>
                <w:color w:val="1F2933"/>
                <w:sz w:val="20"/>
                <w:szCs w:val="20"/>
              </w:rPr>
              <w:t>Movie-Fans Also Played</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50F7B7" w14:textId="77777777" w:rsidR="00655D54" w:rsidRDefault="00000000">
            <w:r>
              <w:rPr>
                <w:rFonts w:ascii="Arial" w:eastAsia="Arial" w:hAnsi="Arial" w:cs="Arial"/>
                <w:color w:val="1F2933"/>
                <w:sz w:val="20"/>
                <w:szCs w:val="20"/>
              </w:rPr>
              <w:t>Co-occurrence rerank standalone</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BEC31" w14:textId="77777777" w:rsidR="00655D54" w:rsidRDefault="00000000">
            <w:r>
              <w:rPr>
                <w:rFonts w:ascii="Arial" w:eastAsia="Arial" w:hAnsi="Arial" w:cs="Arial"/>
                <w:color w:val="1F2933"/>
                <w:sz w:val="20"/>
                <w:szCs w:val="20"/>
              </w:rPr>
              <w:t>L8 universal rerank — explainable (“because you liked X”) and training-free</w:t>
            </w:r>
          </w:p>
        </w:tc>
      </w:tr>
      <w:tr w:rsidR="00655D54" w14:paraId="1582FD9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887B18" w14:textId="77777777" w:rsidR="00655D54" w:rsidRDefault="00000000">
            <w:r>
              <w:rPr>
                <w:rFonts w:ascii="Arial" w:eastAsia="Arial" w:hAnsi="Arial" w:cs="Arial"/>
                <w:b/>
                <w:bCs/>
                <w:color w:val="1F2933"/>
                <w:sz w:val="20"/>
                <w:szCs w:val="20"/>
              </w:rPr>
              <w:t>4</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E6F905" w14:textId="77777777" w:rsidR="00655D54" w:rsidRDefault="00000000">
            <w:r>
              <w:rPr>
                <w:rFonts w:ascii="Arial" w:eastAsia="Arial" w:hAnsi="Arial" w:cs="Arial"/>
                <w:b/>
                <w:bCs/>
                <w:color w:val="1F2933"/>
                <w:sz w:val="20"/>
                <w:szCs w:val="20"/>
              </w:rPr>
              <w:t>Hidden Gems</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EC2296" w14:textId="77777777" w:rsidR="00655D54" w:rsidRDefault="00000000">
            <w:r>
              <w:rPr>
                <w:rFonts w:ascii="Arial" w:eastAsia="Arial" w:hAnsi="Arial" w:cs="Arial"/>
                <w:color w:val="1F2933"/>
                <w:sz w:val="20"/>
                <w:szCs w:val="20"/>
              </w:rPr>
              <w:t>SBERT-CDR on bottom-50% popularity items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F7B261" w14:textId="77777777" w:rsidR="00655D54" w:rsidRDefault="00000000">
            <w:r>
              <w:rPr>
                <w:rFonts w:ascii="Arial" w:eastAsia="Arial" w:hAnsi="Arial" w:cs="Arial"/>
                <w:color w:val="1F2933"/>
                <w:sz w:val="20"/>
                <w:szCs w:val="20"/>
              </w:rPr>
              <w:t>L7 niche subgroup — SBERT wins 11× over collaborative on long-tail items</w:t>
            </w:r>
          </w:p>
        </w:tc>
      </w:tr>
      <w:tr w:rsidR="00655D54" w14:paraId="723486C1"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4684B5" w14:textId="77777777" w:rsidR="00655D54" w:rsidRDefault="00000000">
            <w:r>
              <w:rPr>
                <w:rFonts w:ascii="Arial" w:eastAsia="Arial" w:hAnsi="Arial" w:cs="Arial"/>
                <w:b/>
                <w:bCs/>
                <w:color w:val="1F2933"/>
                <w:sz w:val="20"/>
                <w:szCs w:val="20"/>
              </w:rPr>
              <w:t>5</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DF635" w14:textId="77777777" w:rsidR="00655D54" w:rsidRDefault="00000000">
            <w:r>
              <w:rPr>
                <w:rFonts w:ascii="Arial" w:eastAsia="Arial" w:hAnsi="Arial" w:cs="Arial"/>
                <w:b/>
                <w:bCs/>
                <w:color w:val="1F2933"/>
                <w:sz w:val="20"/>
                <w:szCs w:val="20"/>
              </w:rPr>
              <w:t>Popular Games</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BB4305" w14:textId="77777777" w:rsidR="00655D54" w:rsidRDefault="00000000">
            <w:r>
              <w:rPr>
                <w:rFonts w:ascii="Arial" w:eastAsia="Arial" w:hAnsi="Arial" w:cs="Arial"/>
                <w:color w:val="1F2933"/>
                <w:sz w:val="20"/>
                <w:szCs w:val="20"/>
              </w:rPr>
              <w:t>Popularity (warm-user game counts)</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6E2B9" w14:textId="77777777" w:rsidR="00655D54" w:rsidRDefault="00000000">
            <w:r>
              <w:rPr>
                <w:rFonts w:ascii="Arial" w:eastAsia="Arial" w:hAnsi="Arial" w:cs="Arial"/>
                <w:color w:val="1F2933"/>
                <w:sz w:val="20"/>
                <w:szCs w:val="20"/>
              </w:rPr>
              <w:t>L6 popularity ceiling — strongest cold-start baseline; safety net when other rows return too few items</w:t>
            </w:r>
          </w:p>
        </w:tc>
      </w:tr>
    </w:tbl>
    <w:p w14:paraId="6422991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rows and the lesson finding behind each one.</w:t>
      </w:r>
    </w:p>
    <w:p w14:paraId="1E58E93F" w14:textId="77777777" w:rsidR="00655D54" w:rsidRDefault="00000000">
      <w:pPr>
        <w:spacing w:after="120" w:line="300" w:lineRule="auto"/>
      </w:pPr>
      <w:r>
        <w:rPr>
          <w:rFonts w:ascii="Arial" w:eastAsia="Arial" w:hAnsi="Arial" w:cs="Arial"/>
          <w:color w:val="1F2933"/>
          <w:sz w:val="20"/>
          <w:szCs w:val="20"/>
        </w:rPr>
        <w:t>Two models in the benchmark suite are intentionally not exposed as rows: MF-BPR and NCF. Lessons 2 and 6 showed that MF-BPR is strictly dominated by LightGCN on this dataset, and Lesson 1 showed that NCF’s expressiveness does not translate into full-rank Recall@10 — it looked competitive only on the sampled HR@10 protocol. Putting either as a user-facing row would expose a known weak ranker; both stay in the ML pipeline as research baselines.</w:t>
      </w:r>
    </w:p>
    <w:p w14:paraId="53F8C517" w14:textId="77777777" w:rsidR="00655D54" w:rsidRDefault="00000000">
      <w:pPr>
        <w:spacing w:after="120" w:line="300" w:lineRule="auto"/>
      </w:pPr>
      <w:r>
        <w:rPr>
          <w:rFonts w:ascii="Arial" w:eastAsia="Arial" w:hAnsi="Arial" w:cs="Arial"/>
          <w:color w:val="1F2933"/>
          <w:sz w:val="20"/>
          <w:szCs w:val="20"/>
        </w:rPr>
        <w:t>CMF and PTUPCDR are also not currently exposed as primary rows. CMF’s tuning is dataset-specific (see §6.1) so its production reliability depends on the same hyperparameter discipline being applied at retraining time. PTUPCDR is a strong middle-ground when overlap is dense (L3, L4) but the simplified routing rule in §7.1 covers its regime with EMCDR (cold) and LightGCN (warm) more conservatively. Both remain available in the embedding store and can be slotted into a row without code changes if a future variant of the routing rule calls for them.</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000000">
      <w:pPr>
        <w:spacing w:after="120" w:line="324" w:lineRule="auto"/>
        <w:rPr>
          <w:rFonts w:ascii="Arial" w:eastAsia="Arial" w:hAnsi="Arial" w:cs="Arial"/>
          <w:color w:val="191919"/>
          <w:sz w:val="20"/>
          <w:szCs w:val="20"/>
        </w:rPr>
      </w:pPr>
      <w:hyperlink r:id="rId48">
        <w:r>
          <w:rPr>
            <w:rFonts w:ascii="Arial" w:eastAsia="Arial" w:hAnsi="Arial" w:cs="Arial"/>
            <w:color w:val="1155CC"/>
            <w:sz w:val="20"/>
            <w:szCs w:val="20"/>
            <w:u w:val="single"/>
          </w:rPr>
          <w:t>https://www.evidentlyai.com/ranking-metrics/precision-recall-at-k</w:t>
        </w:r>
      </w:hyperlink>
    </w:p>
    <w:p w14:paraId="4C49D379" w14:textId="77777777" w:rsidR="00655D54" w:rsidRDefault="00655D54">
      <w:pPr>
        <w:spacing w:after="120" w:line="324" w:lineRule="auto"/>
        <w:rPr>
          <w:rFonts w:ascii="Arial" w:eastAsia="Arial" w:hAnsi="Arial" w:cs="Arial"/>
          <w:color w:val="191919"/>
          <w:sz w:val="20"/>
          <w:szCs w:val="20"/>
        </w:rPr>
      </w:pPr>
    </w:p>
    <w:p w14:paraId="4742A8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summarised in Table 8 of Chapter 6).</w:t>
      </w:r>
    </w:p>
    <w:tbl>
      <w:tblPr>
        <w:tblStyle w:val="afffffa"/>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655D54" w14:paraId="73BFD0D5" w14:textId="77777777" w:rsidTr="0065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46B3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2A726ABD"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02759900"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747B3B49"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69E58C2"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655D54" w14:paraId="0C13FC0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0BB6AB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MF-BPR</w:t>
            </w:r>
          </w:p>
        </w:tc>
        <w:tc>
          <w:tcPr>
            <w:tcW w:w="1881" w:type="dxa"/>
          </w:tcPr>
          <w:p w14:paraId="50FA11E6"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48D8477"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641F8FE3"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29DFDC5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1D3006B5"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5B7470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132D4FEF"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4C603CB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23054D5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D74997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2ECFA682"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E022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B24848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02FE09E4"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66CE1C2F"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0C1C254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Unicode MS" w:eastAsia="Arial Unicode MS" w:hAnsi="Arial Unicode MS" w:cs="Arial Unicode MS"/>
                <w:color w:val="191919"/>
                <w:sz w:val="20"/>
                <w:szCs w:val="20"/>
              </w:rPr>
              <w:t>medium — plateau after K ≥ 2</w:t>
            </w:r>
          </w:p>
        </w:tc>
      </w:tr>
      <w:tr w:rsidR="00655D54" w14:paraId="4E4C4161"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F33912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285493C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FB5466D"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85BB25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0D59F4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655D54" w14:paraId="0928BC85"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E75174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4D0BE8D9"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5CF09AA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156AFAD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4426376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655D54" w14:paraId="7F9A1618"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AD4FA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578AC13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0122F65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3550D9D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9C116F1"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655D54" w14:paraId="6DE6DB4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54E869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408E09A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2415FBE1"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7A6CABE5"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360B632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655D54" w14:paraId="4A3BE12C"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C762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6BB0E1AE"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7BCECBD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476EEC1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056336D9"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63A339E" w14:textId="77777777" w:rsidR="00655D54" w:rsidRDefault="00655D54">
      <w:pPr>
        <w:widowControl w:val="0"/>
        <w:spacing w:after="120" w:line="324" w:lineRule="auto"/>
        <w:rPr>
          <w:rFonts w:ascii="Arial" w:eastAsia="Arial" w:hAnsi="Arial" w:cs="Arial"/>
          <w:color w:val="191919"/>
          <w:sz w:val="20"/>
          <w:szCs w:val="20"/>
        </w:rPr>
      </w:pPr>
    </w:p>
    <w:p>
      <w:pPr>
        <w:spacing w:after="0" w:before="0"/>
        <w:rPr>
          <w:rFonts w:ascii="Arial" w:eastAsia="Arial" w:hAnsi="Arial" w:cs="Arial"/>
          <w:sz w:val="20"/>
          <w:szCs w:val="20"/>
        </w:rPr>
      </w:pPr>
      <w:r>
        <w:rPr>
          <w:rFonts w:ascii="Arial" w:eastAsia="Arial" w:hAnsi="Arial" w:cs="Arial"/>
          <w:sz w:val="20"/>
          <w:szCs w:val="20"/>
        </w:rPr>
        <w:br w:type="page"/>
      </w:r>
    </w:p>
    <w:p>
      <w:pPr>
        <w:pStyle w:val="Heading1"/>
        <w:spacing w:before="240" w:after="120"/>
      </w:pPr>
      <w:r>
        <w:rPr>
          <w:rFonts w:ascii="Arial" w:eastAsia="Arial" w:hAnsi="Arial" w:cs="Arial"/>
          <w:color w:val="2E5AAC"/>
          <w:sz w:val="28"/>
          <w:szCs w:val="28"/>
        </w:rPr>
        <w:t xml:space="preserve">Appendix B: Techniques and Skills (MR, RS, CGS)</w:t>
      </w:r>
    </w:p>
    <w:p>
      <w:pPr>
        <w:pBdr>
          <w:bottom w:val="single" w:sz="12" w:space="1" w:color="2E5AAC"/>
        </w:pBdr>
        <w:spacing w:after="240"/>
        <w:rPr>
          <w:rFonts w:ascii="Arial" w:eastAsia="Arial" w:hAnsi="Arial" w:cs="Arial"/>
          <w:sz w:val="20"/>
          <w:szCs w:val="20"/>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E2EC" w:sz="4"/>
              <w:left w:val="single" w:color="D9E2EC" w:sz="4"/>
              <w:bottom w:val="single" w:color="D9E2EC" w:sz="4"/>
              <w:right w:val="single" w:color="D9E2EC" w:sz="4"/>
            </w:tcBorders>
            <w:shd w:fill="EEF2F7" w:val="clear"/>
            <w:tcMar>
              <w:top w:type="dxa" w:w="160"/>
              <w:left w:type="dxa" w:w="180"/>
              <w:bottom w:type="dxa" w:w="160"/>
              <w:right w:type="dxa" w:w="180"/>
            </w:tcMar>
            <w:vAlign w:val="center"/>
          </w:tcPr>
          <w:p>
            <w:r>
              <w:rPr>
                <w:rFonts w:ascii="Arial" w:eastAsia="Arial" w:hAnsi="Arial" w:cs="Arial"/>
                <w:b/>
                <w:bCs/>
                <w:color w:val="1F2933"/>
                <w:sz w:val="20"/>
                <w:szCs w:val="20"/>
              </w:rPr>
              <w:t xml:space="preserve">Course Module</w:t>
            </w:r>
          </w:p>
        </w:tc>
        <w:tc>
          <w:tcPr>
            <w:tcW w:type="dxa" w:w="6960"/>
            <w:tcBorders>
              <w:top w:val="single" w:color="D9E2EC" w:sz="4"/>
              <w:left w:val="single" w:color="D9E2EC" w:sz="4"/>
              <w:bottom w:val="single" w:color="D9E2EC" w:sz="4"/>
              <w:right w:val="single" w:color="D9E2EC" w:sz="4"/>
            </w:tcBorders>
            <w:shd w:fill="EEF2F7" w:val="clear"/>
            <w:tcMar>
              <w:top w:type="dxa" w:w="160"/>
              <w:left w:type="dxa" w:w="180"/>
              <w:bottom w:type="dxa" w:w="160"/>
              <w:right w:type="dxa" w:w="180"/>
            </w:tcMar>
            <w:vAlign w:val="center"/>
          </w:tcPr>
          <w:p>
            <w:r>
              <w:rPr>
                <w:rFonts w:ascii="Arial" w:eastAsia="Arial" w:hAnsi="Arial" w:cs="Arial"/>
                <w:b/>
                <w:bCs/>
                <w:color w:val="1F2933"/>
                <w:sz w:val="20"/>
                <w:szCs w:val="20"/>
              </w:rPr>
              <w:t xml:space="preserve">Techniques and Skills</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Machine Reasoning</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Word2Vec</w:t>
            </w:r>
          </w:p>
          <w:p>
            <w:pPr>
              <w:spacing w:after="40" w:line="280" w:lineRule="auto"/>
              <w:ind w:left="200" w:hanging="200"/>
            </w:pPr>
            <w:r>
              <w:rPr>
                <w:rFonts w:ascii="Arial" w:eastAsia="Arial" w:hAnsi="Arial" w:cs="Arial"/>
                <w:color w:val="1F2933"/>
                <w:sz w:val="20"/>
                <w:szCs w:val="20"/>
              </w:rPr>
              <w:t xml:space="preserve">•  Cosine Similarity</w:t>
            </w:r>
          </w:p>
          <w:p>
            <w:pPr>
              <w:spacing w:after="40" w:line="280" w:lineRule="auto"/>
              <w:ind w:left="200" w:hanging="200"/>
            </w:pPr>
            <w:r>
              <w:rPr>
                <w:rFonts w:ascii="Arial" w:eastAsia="Arial" w:hAnsi="Arial" w:cs="Arial"/>
                <w:color w:val="1F2933"/>
                <w:sz w:val="20"/>
                <w:szCs w:val="20"/>
              </w:rPr>
              <w:t xml:space="preserve">•  Deep Learning with neural network</w:t>
            </w:r>
          </w:p>
          <w:p>
            <w:pPr>
              <w:spacing w:after="60" w:line="280" w:lineRule="auto"/>
            </w:pPr>
            <w:r>
              <w:rPr>
                <w:rFonts w:ascii="Arial" w:eastAsia="Arial" w:hAnsi="Arial" w:cs="Arial"/>
                <w:color w:val="1F2933"/>
                <w:sz w:val="20"/>
                <w:szCs w:val="20"/>
              </w:rPr>
              <w:t xml:space="preserve">A multi-object detection model has been applied to recognize the food in the refrigerator.</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Reasoning Systems</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Knowledge Graph</w:t>
            </w:r>
          </w:p>
          <w:p>
            <w:pPr>
              <w:spacing w:after="60" w:line="280" w:lineRule="auto"/>
            </w:pPr>
            <w:r>
              <w:rPr>
                <w:rFonts w:ascii="Arial" w:eastAsia="Arial" w:hAnsi="Arial" w:cs="Arial"/>
                <w:color w:val="1F2933"/>
                <w:sz w:val="20"/>
                <w:szCs w:val="20"/>
              </w:rPr>
              <w:t xml:space="preserve">The team has built a recipe knowledge base via Neo4j. The knowledge graph stores nodes and relationship with different attributes. To explore more latent values, the rule-based reasoning has been applied in existing graph.</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Cognitive Systems</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Google Dialogflow</w:t>
            </w:r>
          </w:p>
          <w:p>
            <w:pPr>
              <w:spacing w:after="60" w:line="280" w:lineRule="auto"/>
            </w:pPr>
            <w:r>
              <w:rPr>
                <w:rFonts w:ascii="Arial" w:eastAsia="Arial" w:hAnsi="Arial" w:cs="Arial"/>
                <w:color w:val="1F2933"/>
                <w:sz w:val="20"/>
                <w:szCs w:val="20"/>
              </w:rPr>
              <w:t xml:space="preserve">The team has utilized Google Dialogflow to interact with human naturally, learn user’s question, then response according to user’s request. It serves as a system to mimic human reasoning, detecting intents and extracting information from user.</w:t>
            </w:r>
          </w:p>
        </w:tc>
      </w:tr>
    </w:tbl>
    <w:p>
      <w:pPr>
        <w:rPr>
          <w:rFonts w:ascii="Arial" w:eastAsia="Arial" w:hAnsi="Arial" w:cs="Arial"/>
          <w:sz w:val="20"/>
          <w:szCs w:val="20"/>
        </w:rPr>
      </w:pPr>
    </w:p>
    <w:sectPr w:rsidR="00655D54">
      <w:headerReference w:type="default" r:id="rId49"/>
      <w:footerReference w:type="default" r:id="rId5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0BFB" w14:textId="77777777" w:rsidR="00C63A38" w:rsidRDefault="00C63A38">
      <w:pPr>
        <w:spacing w:after="0" w:line="240" w:lineRule="auto"/>
      </w:pPr>
      <w:r>
        <w:separator/>
      </w:r>
    </w:p>
  </w:endnote>
  <w:endnote w:type="continuationSeparator" w:id="0">
    <w:p w14:paraId="55A0CAAC" w14:textId="77777777" w:rsidR="00C63A38" w:rsidRDefault="00C63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D7A004D-7F0F-6746-AC05-75B25E14CCE1}"/>
    <w:embedBold r:id="rId2" w:fontKey="{6F18F13F-4BD0-2A4F-9D61-C639BFCE833A}"/>
    <w:embedItalic r:id="rId3" w:fontKey="{A7A466D2-2464-8347-88F3-FD863E453BDE}"/>
    <w:embedBoldItalic r:id="rId4" w:fontKey="{E248CE69-CA24-F446-9F92-D094AEE6595D}"/>
  </w:font>
  <w:font w:name="Times New Roman">
    <w:panose1 w:val="02020603050405020304"/>
    <w:charset w:val="00"/>
    <w:family w:val="roman"/>
    <w:pitch w:val="variable"/>
    <w:sig w:usb0="E0002EFF" w:usb1="C000785B" w:usb2="00000009" w:usb3="00000000" w:csb0="000001FF" w:csb1="00000000"/>
    <w:embedRegular r:id="rId5" w:fontKey="{37EE1EAF-022C-3F4E-A15B-6306F48B42CD}"/>
  </w:font>
  <w:font w:name="Noto Sans Symbols">
    <w:charset w:val="00"/>
    <w:family w:val="auto"/>
    <w:pitch w:val="default"/>
  </w:font>
  <w:font w:name="Calibri">
    <w:panose1 w:val="020F0502020204030204"/>
    <w:charset w:val="00"/>
    <w:family w:val="swiss"/>
    <w:pitch w:val="variable"/>
    <w:sig w:usb0="E0002AFF" w:usb1="C000247B" w:usb2="00000009" w:usb3="00000000" w:csb0="000001FF" w:csb1="00000000"/>
    <w:embedRegular r:id="rId7" w:fontKey="{1208112C-B689-5742-AF58-C4197B18BF53}"/>
    <w:embedBold r:id="rId8" w:fontKey="{B2468208-1818-A049-86CF-7BD9B80BC44C}"/>
    <w:embedItalic r:id="rId9" w:fontKey="{48F366FC-C4D6-9A49-A055-236FE703D4BB}"/>
    <w:embedBoldItalic r:id="rId10" w:fontKey="{23F3DA39-42C0-B44E-B6FB-34F594C2536C}"/>
  </w:font>
  <w:font w:name="Arial Unicode MS">
    <w:panose1 w:val="020B0604020202020204"/>
    <w:charset w:val="80"/>
    <w:family w:val="swiss"/>
    <w:pitch w:val="variable"/>
    <w:sig w:usb0="F7FFAFFF" w:usb1="E9DFFFFF" w:usb2="0000003F" w:usb3="00000000" w:csb0="003F01FF" w:csb1="00000000"/>
    <w:embedRegular r:id="rId11" w:subsetted="1" w:fontKey="{A1510865-B58A-B04C-A9C8-635C261B8FA2}"/>
    <w:embedBold r:id="rId12" w:subsetted="1" w:fontKey="{DC476B50-ABB4-2145-A3AE-5DC46CA8B5B5}"/>
  </w:font>
  <w:font w:name="Cambria Math">
    <w:panose1 w:val="02040503050406030204"/>
    <w:charset w:val="00"/>
    <w:family w:val="roman"/>
    <w:pitch w:val="variable"/>
    <w:sig w:usb0="E00002FF" w:usb1="420024FF" w:usb2="00000000" w:usb3="00000000" w:csb0="0000019F" w:csb1="00000000"/>
    <w:embedRegular r:id="rId13" w:fontKey="{3207827D-5636-574E-820C-8DD2E778B3F9}"/>
    <w:embedBold r:id="rId14" w:fontKey="{8972E161-9ED6-2143-A27C-97DF2CE3195B}"/>
  </w:font>
  <w:font w:name="Caudex">
    <w:charset w:val="00"/>
    <w:family w:val="auto"/>
    <w:pitch w:val="default"/>
    <w:embedRegular r:id="rId15" w:fontKey="{D0C99A71-CD35-184C-BF9C-1922BF6635A6}"/>
  </w:font>
  <w:font w:name="Andika">
    <w:charset w:val="00"/>
    <w:family w:val="auto"/>
    <w:pitch w:val="default"/>
    <w:embedRegular r:id="rId16" w:fontKey="{014C46C0-1F31-B341-938B-E23ECF22339F}"/>
  </w:font>
  <w:font w:name="Cardo">
    <w:charset w:val="00"/>
    <w:family w:val="auto"/>
    <w:pitch w:val="default"/>
    <w:embedRegular r:id="rId17" w:fontKey="{3F70021E-BC68-6E4B-B411-3BC0FADD35E3}"/>
  </w:font>
  <w:font w:name="Wingdings">
    <w:panose1 w:val="05000000000000000000"/>
    <w:charset w:val="4D"/>
    <w:family w:val="decorative"/>
    <w:pitch w:val="variable"/>
    <w:sig w:usb0="00000003" w:usb1="00000000" w:usb2="00000000" w:usb3="00000000" w:csb0="80000001" w:csb1="00000000"/>
    <w:embedRegular r:id="rId18" w:fontKey="{ECC2F3EC-7E51-9B4E-87D7-FB51BDCB127A}"/>
  </w:font>
  <w:font w:name="Roboto">
    <w:panose1 w:val="02000000000000000000"/>
    <w:charset w:val="00"/>
    <w:family w:val="auto"/>
    <w:pitch w:val="variable"/>
    <w:sig w:usb0="E0000AFF" w:usb1="5000217F" w:usb2="00000021" w:usb3="00000000" w:csb0="0000019F" w:csb1="00000000"/>
    <w:embedRegular r:id="rId19" w:fontKey="{3660A14A-0810-E84B-ACFA-71F6B78BEE97}"/>
    <w:embedBold r:id="rId20" w:fontKey="{B55EA9FD-4588-7847-A4C8-F3F74F5B6C00}"/>
  </w:font>
  <w:font w:name="Cambria">
    <w:panose1 w:val="02040503050406030204"/>
    <w:charset w:val="00"/>
    <w:family w:val="roman"/>
    <w:pitch w:val="variable"/>
    <w:sig w:usb0="E00002FF" w:usb1="400004FF" w:usb2="00000000" w:usb3="00000000" w:csb0="0000019F" w:csb1="00000000"/>
    <w:embedRegular r:id="rId21" w:fontKey="{7E497BEC-1A62-AF4D-BC44-CAFA145133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2A96" w14:textId="77777777" w:rsidR="00C63A38" w:rsidRDefault="00C63A38">
      <w:pPr>
        <w:spacing w:after="0" w:line="240" w:lineRule="auto"/>
      </w:pPr>
      <w:r>
        <w:separator/>
      </w:r>
    </w:p>
  </w:footnote>
  <w:footnote w:type="continuationSeparator" w:id="0">
    <w:p w14:paraId="316FA6FE" w14:textId="77777777" w:rsidR="00C63A38" w:rsidRDefault="00C63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91797">
    <w:abstractNumId w:val="5"/>
  </w:num>
  <w:num w:numId="2" w16cid:durableId="1988319352">
    <w:abstractNumId w:val="11"/>
  </w:num>
  <w:num w:numId="3" w16cid:durableId="2099784716">
    <w:abstractNumId w:val="6"/>
  </w:num>
  <w:num w:numId="4" w16cid:durableId="633372538">
    <w:abstractNumId w:val="9"/>
  </w:num>
  <w:num w:numId="5" w16cid:durableId="413405332">
    <w:abstractNumId w:val="7"/>
  </w:num>
  <w:num w:numId="6" w16cid:durableId="1313218181">
    <w:abstractNumId w:val="1"/>
  </w:num>
  <w:num w:numId="7" w16cid:durableId="322899347">
    <w:abstractNumId w:val="10"/>
  </w:num>
  <w:num w:numId="8" w16cid:durableId="733819137">
    <w:abstractNumId w:val="4"/>
  </w:num>
  <w:num w:numId="9" w16cid:durableId="1033534504">
    <w:abstractNumId w:val="0"/>
  </w:num>
  <w:num w:numId="10" w16cid:durableId="946542581">
    <w:abstractNumId w:val="8"/>
  </w:num>
  <w:num w:numId="11" w16cid:durableId="736588178">
    <w:abstractNumId w:val="2"/>
  </w:num>
  <w:num w:numId="12" w16cid:durableId="682365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655D54"/>
    <w:rsid w:val="00C45EB7"/>
    <w:rsid w:val="00C6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77</Pages>
  <Words>15020</Words>
  <Characters>85619</Characters>
  <Application>Microsoft Office Word</Application>
  <DocSecurity>0</DocSecurity>
  <Lines>713</Lines>
  <Paragraphs>200</Paragraphs>
  <ScaleCrop>false</ScaleCrop>
  <Company/>
  <LinksUpToDate>false</LinksUpToDate>
  <CharactersWithSpaces>100439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2</cp:revision>
  <dcterms:created xsi:type="dcterms:W3CDTF">2026-04-25T14:37:00Z</dcterms:created>
  <dcterms:modified xsi:type="dcterms:W3CDTF">2026-04-25T14:40:00Z</dcterms:modified>
</cp:coreProperties>
</file>