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b/>
          <w:bCs/>
          <w:color w:val="2E5AAC"/>
          <w:sz w:val="32"/>
          <w:szCs w:val="32"/>
        </w:rPr>
        <w:t xml:space="preserve">5.1  </w:t>
      </w:r>
      <w:r>
        <w:rPr>
          <w:b/>
          <w:bCs/>
          <w:color w:val="1F2933"/>
          <w:sz w:val="32"/>
          <w:szCs w:val="32"/>
        </w:rPr>
        <w:t xml:space="preserve">Lesson 1: Explicit vs Implicit Ranking</w:t>
      </w:r>
    </w:p>
    <w:p>
      <w:pPr>
        <w:pBdr>
          <w:bottom w:val="single" w:color="2E5AAC" w:sz="12" w:space="1"/>
        </w:pBdr>
        <w:spacing w:after="240" w:before="0"/>
      </w:pPr>
      <w:r>
        <w:t xml:space="preserve"/>
      </w:r>
    </w:p>
    <w:p>
      <w:pPr>
        <w:spacing w:after="120" w:line="320"/>
      </w:pPr>
      <w:r>
        <w:rPr>
          <w:color w:val="1F2933"/>
        </w:rPr>
        <w:t xml:space="preserve">Predicting a 1–5 rating is fundamentally different from ranking items a user picked over ones they skipped.</w:t>
      </w:r>
    </w:p>
    <w:p>
      <w:pPr>
        <w:spacing w:after="280" w:line="320"/>
      </w:pPr>
      <w:r>
        <w:rPr>
          <w:color w:val="1F2933"/>
        </w:rPr>
        <w:t xml:space="preserve">This lesson shows how choosing the wrong loss function on implicit-feedback data can silently poison every downstream comparison.</w:t>
      </w:r>
    </w:p>
    <w:p>
      <w:pPr>
        <w:pBdr>
          <w:left w:val="single" w:color="2E5AAC" w:sz="24" w:space="12"/>
        </w:pBdr>
        <w:shd w:fill="F3F7FC" w:val="clear"/>
        <w:spacing w:after="60" w:before="0"/>
        <w:ind w:left="240"/>
      </w:pPr>
      <w:r>
        <w:rPr>
          <w:b/>
          <w:bCs/>
          <w:color w:val="2E5AAC"/>
          <w:spacing w:val="40"/>
          <w:sz w:val="18"/>
          <w:szCs w:val="18"/>
        </w:rPr>
        <w:t xml:space="preserve">HYPOTHESIS</w:t>
      </w:r>
    </w:p>
    <w:p>
      <w:pPr>
        <w:pBdr>
          <w:left w:val="single" w:color="2E5AAC" w:sz="24" w:space="12"/>
        </w:pBdr>
        <w:shd w:fill="F3F7FC" w:val="clear"/>
        <w:spacing w:after="0" w:before="0" w:line="300"/>
        <w:ind w:left="240"/>
      </w:pPr>
      <w:r>
        <w:rPr>
          <w:i/>
          <w:iCs/>
          <w:color w:val="1F2933"/>
          <w:sz w:val="22"/>
          <w:szCs w:val="22"/>
        </w:rPr>
        <w:t xml:space="preserve">Will the implicit ranking objective (BPR) outperform the explicit point-predicting approach (SVD) on Recall@10?</w:t>
      </w:r>
    </w:p>
    <w:p>
      <w:pPr>
        <w:spacing w:after="280" w:before="0"/>
      </w:pPr>
      <w:r>
        <w:t xml:space="preserve"/>
      </w:r>
    </w:p>
    <w:p>
      <w:pPr>
        <w:pStyle w:val="Heading2"/>
        <w:spacing w:after="160" w:before="120"/>
      </w:pPr>
      <w:r>
        <w:rPr>
          <w:b/>
          <w:bCs/>
          <w:color w:val="2E5AAC"/>
          <w:sz w:val="26"/>
          <w:szCs w:val="26"/>
        </w:rPr>
        <w:t xml:space="preserve">Setup</w:t>
      </w:r>
    </w:p>
    <w:p>
      <w:pPr>
        <w:spacing w:after="120" w:line="300"/>
      </w:pPr>
      <w:r>
        <w:rPr>
          <w:color w:val="1F2933"/>
        </w:rPr>
        <w:t xml:space="preserve">We train the same matrix-factorisation architecture twice on identical data — </w:t>
      </w:r>
      <w:r>
        <w:rPr>
          <w:b/>
          <w:bCs/>
          <w:color w:val="1F2933"/>
        </w:rPr>
        <w:t xml:space="preserve">once minimising RMSE regression loss, once minimising BPR pairwise ranking loss</w:t>
      </w:r>
      <w:r>
        <w:rPr>
          <w:color w:val="1F2933"/>
        </w:rPr>
        <w:t xml:space="preserve"> — and compare Recall@10.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F2933"/>
        </w:rPr>
        <w:t xml:space="preserve">MF-Explicit (SVD)</w:t>
      </w:r>
      <w:r>
        <w:rPr>
          <w:color w:val="52606D"/>
        </w:rPr>
        <w:t xml:space="preserve">  —  pointwise MSE loss</w:t>
      </w:r>
    </w:p>
    <w:p>
      <w:pPr>
        <w:pStyle w:val="ListParagraph"/>
        <w:numPr>
          <w:ilvl w:val="0"/>
          <w:numId w:val="2"/>
        </w:numPr>
        <w:spacing w:after="200" w:line="300"/>
      </w:pPr>
      <w:r>
        <w:rPr>
          <w:b/>
          <w:bCs/>
          <w:color w:val="1F2933"/>
        </w:rPr>
        <w:t xml:space="preserve">MF-BPR</w:t>
      </w:r>
      <w:r>
        <w:rPr>
          <w:color w:val="52606D"/>
        </w:rPr>
        <w:t xml:space="preserve">  —  pairwise BPR ranking loss</w:t>
      </w:r>
    </w:p>
    <w:p>
      <w:pPr>
        <w:spacing w:after="320" w:line="300"/>
      </w:pPr>
      <w:r>
        <w:rPr>
          <w:b/>
          <w:bCs/>
          <w:color w:val="52606D"/>
        </w:rPr>
        <w:t xml:space="preserve">Evaluation: </w:t>
      </w:r>
      <w:r>
        <w:rPr>
          <w:color w:val="52606D"/>
        </w:rPr>
        <w:t xml:space="preserve">leave-last-out on games, full-rank Recall@10.</w:t>
      </w:r>
    </w:p>
    <w:p>
      <w:pPr>
        <w:pStyle w:val="Heading2"/>
        <w:spacing w:after="160" w:before="120"/>
      </w:pPr>
      <w:r>
        <w:rPr>
          <w:b/>
          <w:bCs/>
          <w:color w:val="2E5AAC"/>
          <w:sz w:val="26"/>
          <w:szCs w:val="26"/>
        </w:rPr>
        <w:t xml:space="preserve">Dataset</w:t>
      </w:r>
      <w:r>
        <w:t xml:space="preserve">   </w:t>
      </w:r>
      <w:r>
        <w:rPr>
          <w:b/>
          <w:bCs/>
          <w:color w:val="155724"/>
          <w:sz w:val="16"/>
          <w:szCs w:val="16"/>
          <w:shd w:fill="D4EDDA" w:val="clear"/>
        </w:rPr>
        <w:t xml:space="preserve"> NEW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2933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2933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2933"/>
                <w:sz w:val="20"/>
                <w:szCs w:val="20"/>
              </w:rPr>
              <w:t xml:space="preserve">Users</w:t>
            </w:r>
          </w:p>
        </w:tc>
        <w:tc>
          <w:tcPr>
            <w:tcW w:type="dxa" w:w="61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1,000,000</w:t>
            </w:r>
          </w:p>
        </w:tc>
      </w:tr>
      <w:tr>
        <w:tc>
          <w:tcPr>
            <w:tcW w:type="dxa" w:w="32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AFB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2933"/>
                <w:sz w:val="20"/>
                <w:szCs w:val="20"/>
              </w:rPr>
              <w:t xml:space="preserve">Overlap</w:t>
            </w:r>
          </w:p>
        </w:tc>
        <w:tc>
          <w:tcPr>
            <w:tcW w:type="dxa" w:w="61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AFB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5.2%</w:t>
            </w:r>
          </w:p>
        </w:tc>
      </w:tr>
      <w:tr>
        <w:tc>
          <w:tcPr>
            <w:tcW w:type="dxa" w:w="32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2933"/>
                <w:sz w:val="20"/>
                <w:szCs w:val="20"/>
              </w:rPr>
              <w:t xml:space="preserve">Movie · game interactions</w:t>
            </w:r>
          </w:p>
        </w:tc>
        <w:tc>
          <w:tcPr>
            <w:tcW w:type="dxa" w:w="61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1.80M · 337K</w:t>
            </w:r>
          </w:p>
        </w:tc>
      </w:tr>
      <w:tr>
        <w:tc>
          <w:tcPr>
            <w:tcW w:type="dxa" w:w="32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AFB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2933"/>
                <w:sz w:val="20"/>
                <w:szCs w:val="20"/>
              </w:rPr>
              <w:t xml:space="preserve">Split</w:t>
            </w:r>
          </w:p>
        </w:tc>
        <w:tc>
          <w:tcPr>
            <w:tcW w:type="dxa" w:w="61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AFB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Leave-last-out on games</w:t>
            </w:r>
          </w:p>
        </w:tc>
      </w:tr>
    </w:tbl>
    <w:p>
      <w:pPr>
        <w:spacing w:after="320" w:before="0"/>
      </w:pPr>
      <w:r>
        <w:t xml:space="preserve"/>
      </w:r>
    </w:p>
    <w:p>
      <w:r>
        <w:br w:type="page"/>
      </w:r>
    </w:p>
    <w:p>
      <w:pPr>
        <w:pStyle w:val="Heading2"/>
        <w:spacing w:after="160" w:before="0"/>
      </w:pPr>
      <w:r>
        <w:rPr>
          <w:b/>
          <w:bCs/>
          <w:color w:val="2E5AAC"/>
          <w:sz w:val="26"/>
          <w:szCs w:val="26"/>
        </w:rPr>
        <w:t xml:space="preserve">Results</w:t>
      </w:r>
    </w:p>
    <w:p>
      <w:pPr>
        <w:spacing w:after="240" w:line="320"/>
      </w:pPr>
      <w:r>
        <w:rPr>
          <w:color w:val="1F2933"/>
        </w:rPr>
        <w:t xml:space="preserve">With positives collapsed to rating ≥ 4, </w:t>
      </w:r>
      <w:r>
        <w:rPr>
          <w:b/>
          <w:bCs/>
          <w:color w:val="1F2933"/>
        </w:rPr>
        <w:t xml:space="preserve">BPR extracts 5.2× more signal than MF-Explicit</w:t>
      </w:r>
      <w:r>
        <w:rPr>
          <w:color w:val="1F2933"/>
        </w:rPr>
        <w:t xml:space="preserve"> on Recall@10.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60"/>
        <w:gridCol w:w="2200"/>
        <w:gridCol w:w="2200"/>
      </w:tblGrid>
      <w:tr>
        <w:tc>
          <w:tcPr>
            <w:tcW w:type="dxa" w:w="22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2933"/>
                <w:sz w:val="20"/>
                <w:szCs w:val="20"/>
              </w:rPr>
              <w:t xml:space="preserve">Model</w:t>
            </w:r>
          </w:p>
        </w:tc>
        <w:tc>
          <w:tcPr>
            <w:tcW w:type="dxa" w:w="2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2933"/>
                <w:sz w:val="20"/>
                <w:szCs w:val="20"/>
              </w:rPr>
              <w:t xml:space="preserve">Loss Function</w:t>
            </w:r>
          </w:p>
        </w:tc>
        <w:tc>
          <w:tcPr>
            <w:tcW w:type="dxa" w:w="22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2933"/>
                <w:sz w:val="20"/>
                <w:szCs w:val="20"/>
              </w:rPr>
              <w:t xml:space="preserve">Recall@10</w:t>
            </w:r>
          </w:p>
        </w:tc>
        <w:tc>
          <w:tcPr>
            <w:tcW w:type="dxa" w:w="22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2933"/>
                <w:sz w:val="20"/>
                <w:szCs w:val="20"/>
              </w:rPr>
              <w:t xml:space="preserve">NDCG@10</w:t>
            </w:r>
          </w:p>
        </w:tc>
      </w:tr>
      <w:tr>
        <w:tc>
          <w:tcPr>
            <w:tcW w:type="dxa" w:w="22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2933"/>
                <w:sz w:val="20"/>
                <w:szCs w:val="20"/>
              </w:rPr>
              <w:t xml:space="preserve">MF-BPR</w:t>
            </w:r>
          </w:p>
        </w:tc>
        <w:tc>
          <w:tcPr>
            <w:tcW w:type="dxa" w:w="2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BPR pairwise ranking</w:t>
            </w:r>
          </w:p>
        </w:tc>
        <w:tc>
          <w:tcPr>
            <w:tcW w:type="dxa" w:w="22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0B2AA"/>
                <w:sz w:val="20"/>
                <w:szCs w:val="20"/>
              </w:rPr>
              <w:t xml:space="preserve">0.0130</w:t>
            </w:r>
          </w:p>
        </w:tc>
        <w:tc>
          <w:tcPr>
            <w:tcW w:type="dxa" w:w="22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0B2AA"/>
                <w:sz w:val="20"/>
                <w:szCs w:val="20"/>
              </w:rPr>
              <w:t xml:space="preserve">0.0067</w:t>
            </w:r>
          </w:p>
        </w:tc>
      </w:tr>
      <w:tr>
        <w:tc>
          <w:tcPr>
            <w:tcW w:type="dxa" w:w="22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AFB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2933"/>
                <w:sz w:val="20"/>
                <w:szCs w:val="20"/>
              </w:rPr>
              <w:t xml:space="preserve">MF-Explicit</w:t>
            </w:r>
          </w:p>
        </w:tc>
        <w:tc>
          <w:tcPr>
            <w:tcW w:type="dxa" w:w="2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AFB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RMSE on star ratings</w:t>
            </w:r>
          </w:p>
        </w:tc>
        <w:tc>
          <w:tcPr>
            <w:tcW w:type="dxa" w:w="22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AFB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52606D"/>
                <w:sz w:val="20"/>
                <w:szCs w:val="20"/>
              </w:rPr>
              <w:t xml:space="preserve">0.0025</w:t>
            </w:r>
          </w:p>
        </w:tc>
        <w:tc>
          <w:tcPr>
            <w:tcW w:type="dxa" w:w="22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AFB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52606D"/>
                <w:sz w:val="20"/>
                <w:szCs w:val="20"/>
              </w:rPr>
              <w:t xml:space="preserve">0.0010</w:t>
            </w:r>
          </w:p>
        </w:tc>
      </w:tr>
    </w:tbl>
    <w:p>
      <w:pPr>
        <w:spacing w:after="400" w:before="120"/>
      </w:pPr>
      <w:r>
        <w:rPr>
          <w:b/>
          <w:bCs/>
          <w:color w:val="2E5AAC"/>
          <w:spacing w:val="40"/>
          <w:sz w:val="16"/>
          <w:szCs w:val="16"/>
        </w:rPr>
        <w:t xml:space="preserve">TABLE L1</w:t>
      </w:r>
      <w:r>
        <w:t xml:space="preserve">   </w:t>
      </w:r>
      <w:r>
        <w:rPr>
          <w:i/>
          <w:iCs/>
          <w:color w:val="52606D"/>
          <w:sz w:val="18"/>
          <w:szCs w:val="18"/>
        </w:rPr>
        <w:t xml:space="preserve">Pointwise vs pairwise — Recall@10 and NDCG@10 on the shared cohort.</w:t>
      </w:r>
    </w:p>
    <w:p>
      <w:pPr>
        <w:spacing w:after="80" w:before="0"/>
      </w:pPr>
      <w:r>
        <w:rPr>
          <w:b/>
          <w:bCs/>
          <w:color w:val="1F2933"/>
          <w:sz w:val="22"/>
          <w:szCs w:val="22"/>
        </w:rPr>
        <w:t xml:space="preserve">Recall@10</w:t>
      </w:r>
      <w:r>
        <w:rPr>
          <w:sz w:val="18"/>
          <w:szCs w:val="18"/>
        </w:rPr>
        <w:t xml:space="preserve">      </w:t>
      </w:r>
      <w:r>
        <w:rPr>
          <w:b/>
          <w:bCs/>
          <w:color w:val="20B2AA"/>
          <w:sz w:val="18"/>
          <w:szCs w:val="18"/>
        </w:rPr>
        <w:t xml:space="preserve">5.2× win for BPR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6000"/>
        <w:gridCol w:w="146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2933"/>
                <w:sz w:val="18"/>
                <w:szCs w:val="18"/>
              </w:rPr>
              <w:t xml:space="preserve">MF-BPR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6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571"/>
              <w:gridCol w:w="429"/>
            </w:tblGrid>
            <w:tr>
              <w:trPr>
                <w:trHeight w:val="320" w:hRule="exact"/>
              </w:trPr>
              <w:tc>
                <w:tcPr>
                  <w:tcW w:type="dxa" w:w="557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0B2A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t xml:space="preserve"/>
                  </w:r>
                </w:p>
              </w:tc>
              <w:tc>
                <w:tcPr>
                  <w:tcW w:type="dxa" w:w="4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t xml:space="preserve"/>
                  </w:r>
                </w:p>
              </w:tc>
            </w:tr>
          </w:tbl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60"/>
            </w:tcMar>
            <w:vAlign w:val="center"/>
          </w:tcPr>
          <w:p>
            <w:r>
              <w:rPr>
                <w:b/>
                <w:bCs/>
                <w:color w:val="20B2AA"/>
                <w:sz w:val="18"/>
                <w:szCs w:val="18"/>
              </w:rPr>
              <w:t xml:space="preserve">0.0130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MF-Explicit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6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71"/>
              <w:gridCol w:w="4929"/>
            </w:tblGrid>
            <w:tr>
              <w:trPr>
                <w:trHeight w:val="320" w:hRule="exact"/>
              </w:trPr>
              <w:tc>
                <w:tcPr>
                  <w:tcW w:type="dxa" w:w="107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4CDD5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t xml:space="preserve"/>
                  </w:r>
                </w:p>
              </w:tc>
              <w:tc>
                <w:tcPr>
                  <w:tcW w:type="dxa" w:w="49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t xml:space="preserve"/>
                  </w:r>
                </w:p>
              </w:tc>
            </w:tr>
          </w:tbl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  <w:tcMar>
              <w:top w:type="dxa" w:w="60"/>
              <w:left w:type="dxa" w:w="120"/>
              <w:bottom w:type="dxa" w:w="6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52606D"/>
                <w:sz w:val="18"/>
                <w:szCs w:val="18"/>
              </w:rPr>
              <w:t xml:space="preserve">0.0025</w:t>
            </w:r>
          </w:p>
        </w:tc>
      </w:tr>
    </w:tbl>
    <w:p>
      <w:pPr>
        <w:spacing w:after="80" w:before="240"/>
      </w:pPr>
      <w:r>
        <w:rPr>
          <w:b/>
          <w:bCs/>
          <w:color w:val="1F2933"/>
          <w:sz w:val="22"/>
          <w:szCs w:val="22"/>
        </w:rPr>
        <w:t xml:space="preserve">NDCG@10</w:t>
      </w:r>
      <w:r>
        <w:rPr>
          <w:sz w:val="18"/>
          <w:szCs w:val="18"/>
        </w:rPr>
        <w:t xml:space="preserve">      </w:t>
      </w:r>
      <w:r>
        <w:rPr>
          <w:b/>
          <w:bCs/>
          <w:color w:val="20B2AA"/>
          <w:sz w:val="18"/>
          <w:szCs w:val="18"/>
        </w:rPr>
        <w:t xml:space="preserve">6.7× win for BPR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6000"/>
        <w:gridCol w:w="146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2933"/>
                <w:sz w:val="18"/>
                <w:szCs w:val="18"/>
              </w:rPr>
              <w:t xml:space="preserve">MF-BPR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6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871"/>
              <w:gridCol w:w="3129"/>
            </w:tblGrid>
            <w:tr>
              <w:trPr>
                <w:trHeight w:val="320" w:hRule="exact"/>
              </w:trPr>
              <w:tc>
                <w:tcPr>
                  <w:tcW w:type="dxa" w:w="287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0B2A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t xml:space="preserve"/>
                  </w:r>
                </w:p>
              </w:tc>
              <w:tc>
                <w:tcPr>
                  <w:tcW w:type="dxa" w:w="31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t xml:space="preserve"/>
                  </w:r>
                </w:p>
              </w:tc>
            </w:tr>
          </w:tbl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60"/>
            </w:tcMar>
            <w:vAlign w:val="center"/>
          </w:tcPr>
          <w:p>
            <w:r>
              <w:rPr>
                <w:b/>
                <w:bCs/>
                <w:color w:val="20B2AA"/>
                <w:sz w:val="18"/>
                <w:szCs w:val="18"/>
              </w:rPr>
              <w:t xml:space="preserve">0.0067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MF-Explicit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6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29"/>
              <w:gridCol w:w="5571"/>
            </w:tblGrid>
            <w:tr>
              <w:trPr>
                <w:trHeight w:val="320" w:hRule="exact"/>
              </w:trPr>
              <w:tc>
                <w:tcPr>
                  <w:tcW w:type="dxa" w:w="4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4CDD5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t xml:space="preserve"/>
                  </w:r>
                </w:p>
              </w:tc>
              <w:tc>
                <w:tcPr>
                  <w:tcW w:type="dxa" w:w="557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t xml:space="preserve"/>
                  </w:r>
                </w:p>
              </w:tc>
            </w:tr>
          </w:tbl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  <w:tcMar>
              <w:top w:type="dxa" w:w="60"/>
              <w:left w:type="dxa" w:w="120"/>
              <w:bottom w:type="dxa" w:w="6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52606D"/>
                <w:sz w:val="18"/>
                <w:szCs w:val="18"/>
              </w:rPr>
              <w:t xml:space="preserve">0.0010</w:t>
            </w:r>
          </w:p>
        </w:tc>
      </w:tr>
    </w:tbl>
    <w:p>
      <w:pPr>
        <w:spacing w:after="320" w:before="240"/>
      </w:pPr>
      <w:r>
        <w:rPr>
          <w:b/>
          <w:bCs/>
          <w:color w:val="2E5AAC"/>
          <w:spacing w:val="40"/>
          <w:sz w:val="16"/>
          <w:szCs w:val="16"/>
        </w:rPr>
        <w:t xml:space="preserve">FIGURE L1</w:t>
      </w:r>
      <w:r>
        <w:t xml:space="preserve">   </w:t>
      </w:r>
      <w:r>
        <w:rPr>
          <w:i/>
          <w:iCs/>
          <w:color w:val="52606D"/>
          <w:sz w:val="18"/>
          <w:szCs w:val="18"/>
        </w:rPr>
        <w:t xml:space="preserve">MF-BPR vs MF-Explicit on both metrics — ranking loss dominates.</w:t>
      </w:r>
    </w:p>
    <w:p>
      <w:pPr>
        <w:pBdr>
          <w:left w:val="single" w:color="E6A817" w:sz="24" w:space="12"/>
        </w:pBdr>
        <w:shd w:fill="FFF8E1" w:val="clear"/>
        <w:spacing w:after="60" w:before="0"/>
        <w:ind w:left="240"/>
      </w:pPr>
      <w:r>
        <w:rPr>
          <w:b/>
          <w:bCs/>
          <w:color w:val="8A6200"/>
          <w:spacing w:val="40"/>
          <w:sz w:val="18"/>
          <w:szCs w:val="18"/>
        </w:rPr>
        <w:t xml:space="preserve">KEY FINDING</w:t>
      </w:r>
    </w:p>
    <w:p>
      <w:pPr>
        <w:pBdr>
          <w:left w:val="single" w:color="E6A817" w:sz="24" w:space="12"/>
        </w:pBdr>
        <w:shd w:fill="FFF8E1" w:val="clear"/>
        <w:spacing w:after="0" w:before="0" w:line="320"/>
        <w:ind w:left="240"/>
      </w:pPr>
      <w:r>
        <w:rPr>
          <w:b/>
          <w:bCs/>
          <w:color w:val="1F2933"/>
          <w:sz w:val="22"/>
          <w:szCs w:val="22"/>
        </w:rPr>
        <w:t xml:space="preserve">Confirmed — </w:t>
      </w:r>
      <w:r>
        <w:rPr>
          <w:color w:val="1F2933"/>
          <w:sz w:val="22"/>
          <w:szCs w:val="22"/>
        </w:rPr>
        <w:t xml:space="preserve">BPR wins 5.2× on Recall@10. The ranking loss directly optimizes the quantity that evaluation metrics measure, while RMSE optimizes prediction accuracy on ratings that may not correlate with top-K relevance.</w:t>
      </w:r>
    </w:p>
    <w:p>
      <w:pPr>
        <w:spacing w:after="3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0"/>
      </w:pPr>
      <w:r>
        <w:rPr>
          <w:b/>
          <w:bCs/>
          <w:color w:val="2E5AAC"/>
          <w:sz w:val="32"/>
          <w:szCs w:val="32"/>
        </w:rPr>
        <w:t xml:space="preserve">Lesson 1  </w:t>
      </w:r>
      <w:r>
        <w:rPr>
          <w:b/>
          <w:bCs/>
          <w:color w:val="1F2933"/>
          <w:sz w:val="32"/>
          <w:szCs w:val="32"/>
        </w:rPr>
        <w:t xml:space="preserve">Summary</w:t>
      </w:r>
    </w:p>
    <w:p>
      <w:pPr>
        <w:pBdr>
          <w:bottom w:val="single" w:color="2E5AAC" w:sz="12" w:space="1"/>
        </w:pBdr>
        <w:spacing w:after="240" w:before="0"/>
      </w:pPr>
      <w:r>
        <w:t xml:space="preserve"/>
      </w:r>
    </w:p>
    <w:p>
      <w:pPr>
        <w:spacing w:after="120" w:line="320"/>
      </w:pPr>
      <w:r>
        <w:rPr>
          <w:color w:val="1F2933"/>
        </w:rPr>
        <w:t xml:space="preserve">Lesson 1 asks whether we should train on explicit 1–5 ratings or treat ratings implicitly as positive signals.</w:t>
      </w:r>
    </w:p>
    <w:p>
      <w:pPr>
        <w:spacing w:after="120" w:line="320"/>
      </w:pPr>
      <w:r>
        <w:rPr>
          <w:color w:val="1F2933"/>
        </w:rPr>
        <w:t xml:space="preserve">We compare MF trained with explicit MSE regression (MF-Explicit) against the same model trained with Bayesian Personalized Ranking on implicit feedback (MF-BPR). </w:t>
      </w:r>
      <w:r>
        <w:rPr>
          <w:b/>
          <w:bCs/>
          <w:color w:val="1F2933"/>
        </w:rPr>
        <w:t xml:space="preserve">On the same cohort, MF-BPR reaches Recall@10 = 0.0130 while MF-Explicit collapses to 0.0025 — a 5.2× gap.</w:t>
      </w:r>
    </w:p>
    <w:p>
      <w:pPr>
        <w:spacing w:after="320" w:line="320"/>
      </w:pPr>
      <w:r>
        <w:rPr>
          <w:color w:val="1F2933"/>
        </w:rPr>
        <w:t xml:space="preserve">The takeaway for the rest of the report: ranking losses are the right regime for recommendation, and every subsequent model is trained implicitly.</w:t>
      </w:r>
    </w:p>
    <w:p>
      <w:pPr>
        <w:pStyle w:val="Heading2"/>
        <w:spacing w:after="160" w:before="120"/>
      </w:pPr>
      <w:r>
        <w:rPr>
          <w:b/>
          <w:bCs/>
          <w:color w:val="2E5AAC"/>
          <w:sz w:val="26"/>
          <w:szCs w:val="26"/>
        </w:rPr>
        <w:t xml:space="preserve">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2933"/>
                <w:sz w:val="20"/>
                <w:szCs w:val="20"/>
              </w:rPr>
              <w:t xml:space="preserve">Finding</w:t>
            </w:r>
          </w:p>
        </w:tc>
        <w:tc>
          <w:tcPr>
            <w:tcW w:type="dxa" w:w="5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2933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2933"/>
                <w:sz w:val="20"/>
                <w:szCs w:val="20"/>
              </w:rPr>
              <w:t xml:space="preserve">BPR crushes MF-Explicit</w:t>
            </w:r>
          </w:p>
        </w:tc>
        <w:tc>
          <w:tcPr>
            <w:tcW w:type="dxa" w:w="5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Recall@10 </w:t>
            </w:r>
            <w:r>
              <w:rPr>
                <w:b/>
                <w:bCs/>
                <w:color w:val="20B2AA"/>
                <w:sz w:val="20"/>
                <w:szCs w:val="20"/>
              </w:rPr>
              <w:t xml:space="preserve">0.0130</w:t>
            </w:r>
            <w:r>
              <w:rPr>
                <w:color w:val="1F2933"/>
                <w:sz w:val="20"/>
                <w:szCs w:val="20"/>
              </w:rPr>
              <w:t xml:space="preserve"> vs </w:t>
            </w:r>
            <w:r>
              <w:rPr>
                <w:color w:val="52606D"/>
                <w:sz w:val="20"/>
                <w:szCs w:val="20"/>
              </w:rPr>
              <w:t xml:space="preserve">0.0025</w:t>
            </w:r>
            <w:r>
              <w:rPr>
                <w:color w:val="1F2933"/>
                <w:sz w:val="20"/>
                <w:szCs w:val="20"/>
              </w:rPr>
              <w:t xml:space="preserve"> — </w:t>
            </w:r>
            <w:r>
              <w:rPr>
                <w:b/>
                <w:bCs/>
                <w:color w:val="20B2AA"/>
                <w:sz w:val="20"/>
                <w:szCs w:val="20"/>
              </w:rPr>
              <w:t xml:space="preserve">5.2× win</w:t>
            </w:r>
            <w:r>
              <w:rPr>
                <w:color w:val="1F2933"/>
                <w:sz w:val="20"/>
                <w:szCs w:val="20"/>
              </w:rPr>
              <w:t xml:space="preserve">; NDCG </w:t>
            </w:r>
            <w:r>
              <w:rPr>
                <w:b/>
                <w:bCs/>
                <w:color w:val="20B2AA"/>
                <w:sz w:val="20"/>
                <w:szCs w:val="20"/>
              </w:rPr>
              <w:t xml:space="preserve">6.7×</w:t>
            </w:r>
          </w:p>
        </w:tc>
      </w:tr>
      <w:tr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AFB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2933"/>
                <w:sz w:val="20"/>
                <w:szCs w:val="20"/>
              </w:rPr>
              <w:t xml:space="preserve">Ranking loss fits implicit data</w:t>
            </w:r>
          </w:p>
        </w:tc>
        <w:tc>
          <w:tcPr>
            <w:tcW w:type="dxa" w:w="5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AFB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All positives collapse to rating ≥ 4; SVD loses variance</w:t>
            </w:r>
          </w:p>
        </w:tc>
      </w:tr>
      <w:tr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2933"/>
                <w:sz w:val="20"/>
                <w:szCs w:val="20"/>
              </w:rPr>
              <w:t xml:space="preserve">Low ceiling without CDR</w:t>
            </w:r>
          </w:p>
        </w:tc>
        <w:tc>
          <w:tcPr>
            <w:tcW w:type="dxa" w:w="5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Best single-domain is only 1.3% Recall@10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Bdr>
          <w:left w:val="single" w:color="2E5AAC" w:sz="24" w:space="12"/>
        </w:pBdr>
        <w:shd w:fill="F3F7FC" w:val="clear"/>
        <w:spacing w:after="60" w:before="0"/>
        <w:ind w:left="240"/>
      </w:pPr>
      <w:r>
        <w:rPr>
          <w:b/>
          <w:bCs/>
          <w:color w:val="2E5AAC"/>
          <w:spacing w:val="40"/>
          <w:sz w:val="18"/>
          <w:szCs w:val="18"/>
        </w:rPr>
        <w:t xml:space="preserve">NEXT UP</w:t>
      </w:r>
    </w:p>
    <w:p>
      <w:pPr>
        <w:pBdr>
          <w:left w:val="single" w:color="2E5AAC" w:sz="24" w:space="12"/>
        </w:pBdr>
        <w:shd w:fill="F3F7FC" w:val="clear"/>
        <w:spacing w:after="0" w:before="0" w:line="320"/>
        <w:ind w:left="240"/>
      </w:pPr>
      <w:r>
        <w:rPr>
          <w:b/>
          <w:bCs/>
          <w:color w:val="1F2933"/>
          <w:sz w:val="22"/>
          <w:szCs w:val="22"/>
        </w:rPr>
        <w:t xml:space="preserve">Lesson 2 </w:t>
      </w:r>
      <w:r>
        <w:rPr>
          <w:color w:val="1F2933"/>
          <w:sz w:val="22"/>
          <w:szCs w:val="22"/>
        </w:rPr>
        <w:t xml:space="preserve">expands the portfolio from two MF models to six (adding LightGCN, NCF, CMF, EMCDR, PTUPCDR) and runs them on the same naturally-sparse mixed population — asking whether CDR models can beat single-domain when only 5% of users overlap.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29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Calibri" w:cs="Calibri" w:eastAsia="Calibri" w:hAnsi="Calibri"/>
      <w:b/>
      <w:bCs/>
      <w:color w:val="2E5AA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2026-04-23T14:10:38.036Z</dcterms:created>
  <dcterms:modified xsi:type="dcterms:W3CDTF">2026-04-23T14:10:38.037Z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