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2" w:space="4" w:color="2E7D8C"/>
        </w:pBdr>
      </w:pPr>
    </w:p>
    <w:p>
      <w:pPr>
        <w:jc w:val="center"/>
        <w:spacing w:before="200" w:after="80" w:line="276" w:lineRule="auto"/>
      </w:pPr>
      <w:r>
        <w:rPr>
          <w:rFonts w:ascii="Calibri" w:hAnsi="Calibri"/>
          <w:b/>
          <w:color w:val="0F1B33"/>
          <w:sz w:val="64"/>
        </w:rPr>
        <w:t>Cross-Domain</w:t>
        <w:br/>
        <w:t>Recommender System</w:t>
      </w:r>
    </w:p>
    <w:p>
      <w:pPr>
        <w:jc w:val="center"/>
        <w:spacing w:before="0" w:after="200" w:line="276" w:lineRule="auto"/>
      </w:pPr>
      <w:r>
        <w:rPr>
          <w:rFonts w:ascii="Calibri" w:hAnsi="Calibri"/>
          <w:color w:val="2E7D8C"/>
          <w:sz w:val="44"/>
        </w:rPr>
        <w:t>Movies → Games</w:t>
      </w:r>
    </w:p>
    <w:p>
      <w:pPr>
        <w:jc w:val="center"/>
        <w:pBdr>
          <w:bottom w:val="single" w:sz="12" w:space="4" w:color="2E7D8C"/>
        </w:pBdr>
      </w:pPr>
    </w:p>
    <w:p/>
    <w:p>
      <w:pPr>
        <w:jc w:val="center"/>
        <w:spacing w:before="0" w:after="120" w:line="276" w:lineRule="auto"/>
      </w:pPr>
      <w:r>
        <w:rPr>
          <w:rFonts w:ascii="Calibri" w:hAnsi="Calibri"/>
          <w:color w:val="3D5A80"/>
          <w:sz w:val="32"/>
        </w:rPr>
        <w:t>IRS Project Report</w:t>
      </w:r>
    </w:p>
    <w:p>
      <w:pPr>
        <w:jc w:val="center"/>
      </w:pPr>
      <w:r>
        <w:rPr>
          <w:rFonts w:ascii="Calibri" w:hAnsi="Calibri"/>
          <w:color w:val="64748B"/>
          <w:sz w:val="22"/>
        </w:rPr>
        <w:t>A systematic experimental study of cross-domain recommendation</w:t>
        <w:br/>
        <w:t>using the Amazon Reviews 2023 dataset</w:t>
        <w:br/>
        <w:br/>
        <w:t>Leveraging movie preferences to recommend video games</w:t>
      </w:r>
    </w:p>
    <w:p>
      <w:r>
        <w:br w:type="page"/>
      </w:r>
    </w:p>
    <w:p>
      <w:pPr>
        <w:pStyle w:val="Heading1"/>
        <w:pBdr>
          <w:bottom w:val="single" w:sz="8" w:space="4" w:color="2E7D8C"/>
        </w:pBdr>
        <w:spacing w:before="360" w:after="200" w:line="276" w:lineRule="auto"/>
      </w:pPr>
      <w:r>
        <w:rPr>
          <w:rFonts w:ascii="Calibri" w:hAnsi="Calibri"/>
          <w:color w:val="1B2A4A"/>
        </w:rPr>
        <w:t>Table of Contents</w:t>
      </w:r>
    </w:p>
    <w:p>
      <w:pPr>
        <w:spacing w:before="0" w:after="50" w:line="276" w:lineRule="auto"/>
      </w:pPr>
      <w:r>
        <w:rPr>
          <w:rFonts w:ascii="Calibri" w:hAnsi="Calibri"/>
          <w:b/>
          <w:color w:val="1B2A4A"/>
          <w:sz w:val="19"/>
        </w:rPr>
        <w:t xml:space="preserve">1. </w:t>
      </w:r>
      <w:r>
        <w:rPr>
          <w:rFonts w:ascii="Calibri" w:hAnsi="Calibri"/>
          <w:b/>
          <w:color w:val="2D3748"/>
          <w:sz w:val="19"/>
        </w:rPr>
        <w:t>Executive Summary</w:t>
      </w:r>
    </w:p>
    <w:p>
      <w:pPr>
        <w:spacing w:before="0" w:after="50" w:line="276" w:lineRule="auto"/>
      </w:pPr>
      <w:r>
        <w:rPr>
          <w:rFonts w:ascii="Calibri" w:hAnsi="Calibri"/>
          <w:b/>
          <w:color w:val="1B2A4A"/>
          <w:sz w:val="19"/>
        </w:rPr>
        <w:t xml:space="preserve">2. </w:t>
      </w:r>
      <w:r>
        <w:rPr>
          <w:rFonts w:ascii="Calibri" w:hAnsi="Calibri"/>
          <w:b/>
          <w:color w:val="2D3748"/>
          <w:sz w:val="19"/>
        </w:rPr>
        <w:t>Introduction</w:t>
      </w:r>
    </w:p>
    <w:p>
      <w:pPr>
        <w:spacing w:before="0" w:after="30" w:line="276" w:lineRule="auto"/>
        <w:ind w:left="680"/>
      </w:pPr>
      <w:r>
        <w:rPr>
          <w:rFonts w:ascii="Calibri" w:hAnsi="Calibri"/>
          <w:b w:val="0"/>
          <w:color w:val="2E7D8C"/>
          <w:sz w:val="19"/>
        </w:rPr>
        <w:t xml:space="preserve">2.1 </w:t>
      </w:r>
      <w:r>
        <w:rPr>
          <w:rFonts w:ascii="Calibri" w:hAnsi="Calibri"/>
          <w:b w:val="0"/>
          <w:color w:val="2D3748"/>
          <w:sz w:val="19"/>
        </w:rPr>
        <w:t>Background and Problem Statement</w:t>
      </w:r>
    </w:p>
    <w:p>
      <w:pPr>
        <w:spacing w:before="0" w:after="30" w:line="276" w:lineRule="auto"/>
        <w:ind w:left="680"/>
      </w:pPr>
      <w:r>
        <w:rPr>
          <w:rFonts w:ascii="Calibri" w:hAnsi="Calibri"/>
          <w:b w:val="0"/>
          <w:color w:val="2E7D8C"/>
          <w:sz w:val="19"/>
        </w:rPr>
        <w:t xml:space="preserve">2.2 </w:t>
      </w:r>
      <w:r>
        <w:rPr>
          <w:rFonts w:ascii="Calibri" w:hAnsi="Calibri"/>
          <w:b w:val="0"/>
          <w:color w:val="2D3748"/>
          <w:sz w:val="19"/>
        </w:rPr>
        <w:t>Research Methodology and Experiment Design</w:t>
      </w:r>
    </w:p>
    <w:p>
      <w:pPr>
        <w:spacing w:before="0" w:after="30" w:line="276" w:lineRule="auto"/>
        <w:ind w:left="680"/>
      </w:pPr>
      <w:r>
        <w:rPr>
          <w:rFonts w:ascii="Calibri" w:hAnsi="Calibri"/>
          <w:b w:val="0"/>
          <w:color w:val="2E7D8C"/>
          <w:sz w:val="19"/>
        </w:rPr>
        <w:t xml:space="preserve">2.3 </w:t>
      </w:r>
      <w:r>
        <w:rPr>
          <w:rFonts w:ascii="Calibri" w:hAnsi="Calibri"/>
          <w:b w:val="0"/>
          <w:color w:val="2D3748"/>
          <w:sz w:val="19"/>
        </w:rPr>
        <w:t>Aim and Objectives</w:t>
      </w:r>
    </w:p>
    <w:p>
      <w:pPr>
        <w:spacing w:before="0" w:after="50" w:line="276" w:lineRule="auto"/>
      </w:pPr>
      <w:r>
        <w:rPr>
          <w:rFonts w:ascii="Calibri" w:hAnsi="Calibri"/>
          <w:b/>
          <w:color w:val="1B2A4A"/>
          <w:sz w:val="19"/>
        </w:rPr>
        <w:t xml:space="preserve">3. </w:t>
      </w:r>
      <w:r>
        <w:rPr>
          <w:rFonts w:ascii="Calibri" w:hAnsi="Calibri"/>
          <w:b/>
          <w:color w:val="2D3748"/>
          <w:sz w:val="19"/>
        </w:rPr>
        <w:t>Data</w:t>
      </w:r>
    </w:p>
    <w:p>
      <w:pPr>
        <w:spacing w:before="0" w:after="30" w:line="276" w:lineRule="auto"/>
        <w:ind w:left="680"/>
      </w:pPr>
      <w:r>
        <w:rPr>
          <w:rFonts w:ascii="Calibri" w:hAnsi="Calibri"/>
          <w:b w:val="0"/>
          <w:color w:val="2E7D8C"/>
          <w:sz w:val="19"/>
        </w:rPr>
        <w:t xml:space="preserve">3.1 </w:t>
      </w:r>
      <w:r>
        <w:rPr>
          <w:rFonts w:ascii="Calibri" w:hAnsi="Calibri"/>
          <w:b w:val="0"/>
          <w:color w:val="2D3748"/>
          <w:sz w:val="19"/>
        </w:rPr>
        <w:t>Data Source</w:t>
      </w:r>
    </w:p>
    <w:p>
      <w:pPr>
        <w:spacing w:before="0" w:after="30" w:line="276" w:lineRule="auto"/>
        <w:ind w:left="680"/>
      </w:pPr>
      <w:r>
        <w:rPr>
          <w:rFonts w:ascii="Calibri" w:hAnsi="Calibri"/>
          <w:b w:val="0"/>
          <w:color w:val="2E7D8C"/>
          <w:sz w:val="19"/>
        </w:rPr>
        <w:t xml:space="preserve">3.2 </w:t>
      </w:r>
      <w:r>
        <w:rPr>
          <w:rFonts w:ascii="Calibri" w:hAnsi="Calibri"/>
          <w:b w:val="0"/>
          <w:color w:val="2D3748"/>
          <w:sz w:val="19"/>
        </w:rPr>
        <w:t>Dataset Variants</w:t>
      </w:r>
    </w:p>
    <w:p>
      <w:pPr>
        <w:spacing w:before="0" w:after="30" w:line="276" w:lineRule="auto"/>
        <w:ind w:left="680"/>
      </w:pPr>
      <w:r>
        <w:rPr>
          <w:rFonts w:ascii="Calibri" w:hAnsi="Calibri"/>
          <w:b w:val="0"/>
          <w:color w:val="2E7D8C"/>
          <w:sz w:val="19"/>
        </w:rPr>
        <w:t xml:space="preserve">3.3 </w:t>
      </w:r>
      <w:r>
        <w:rPr>
          <w:rFonts w:ascii="Calibri" w:hAnsi="Calibri"/>
          <w:b w:val="0"/>
          <w:color w:val="2D3748"/>
          <w:sz w:val="19"/>
        </w:rPr>
        <w:t>Data Splitting Protocol</w:t>
      </w:r>
    </w:p>
    <w:p>
      <w:pPr>
        <w:spacing w:before="0" w:after="50" w:line="276" w:lineRule="auto"/>
      </w:pPr>
      <w:r>
        <w:rPr>
          <w:rFonts w:ascii="Calibri" w:hAnsi="Calibri"/>
          <w:b/>
          <w:color w:val="1B2A4A"/>
          <w:sz w:val="19"/>
        </w:rPr>
        <w:t xml:space="preserve">4. </w:t>
      </w:r>
      <w:r>
        <w:rPr>
          <w:rFonts w:ascii="Calibri" w:hAnsi="Calibri"/>
          <w:b/>
          <w:color w:val="2D3748"/>
          <w:sz w:val="19"/>
        </w:rPr>
        <w:t>Methodology</w:t>
      </w:r>
    </w:p>
    <w:p>
      <w:pPr>
        <w:spacing w:before="0" w:after="30" w:line="276" w:lineRule="auto"/>
        <w:ind w:left="680"/>
      </w:pPr>
      <w:r>
        <w:rPr>
          <w:rFonts w:ascii="Calibri" w:hAnsi="Calibri"/>
          <w:b w:val="0"/>
          <w:color w:val="2E7D8C"/>
          <w:sz w:val="19"/>
        </w:rPr>
        <w:t xml:space="preserve">4.1 </w:t>
      </w:r>
      <w:r>
        <w:rPr>
          <w:rFonts w:ascii="Calibri" w:hAnsi="Calibri"/>
          <w:b w:val="0"/>
          <w:color w:val="2D3748"/>
          <w:sz w:val="19"/>
        </w:rPr>
        <w:t>Evaluation Protocol</w:t>
      </w:r>
    </w:p>
    <w:p>
      <w:pPr>
        <w:spacing w:before="0" w:after="30" w:line="276" w:lineRule="auto"/>
        <w:ind w:left="680"/>
      </w:pPr>
      <w:r>
        <w:rPr>
          <w:rFonts w:ascii="Calibri" w:hAnsi="Calibri"/>
          <w:b w:val="0"/>
          <w:color w:val="2E7D8C"/>
          <w:sz w:val="19"/>
        </w:rPr>
        <w:t xml:space="preserve">4.2 </w:t>
      </w:r>
      <w:r>
        <w:rPr>
          <w:rFonts w:ascii="Calibri" w:hAnsi="Calibri"/>
          <w:b w:val="0"/>
          <w:color w:val="2D3748"/>
          <w:sz w:val="19"/>
        </w:rPr>
        <w:t>MF-BPR: Matrix Factorization</w:t>
      </w:r>
    </w:p>
    <w:p>
      <w:pPr>
        <w:spacing w:before="0" w:after="30" w:line="276" w:lineRule="auto"/>
        <w:ind w:left="680"/>
      </w:pPr>
      <w:r>
        <w:rPr>
          <w:rFonts w:ascii="Calibri" w:hAnsi="Calibri"/>
          <w:b w:val="0"/>
          <w:color w:val="2E7D8C"/>
          <w:sz w:val="19"/>
        </w:rPr>
        <w:t xml:space="preserve">4.3 </w:t>
      </w:r>
      <w:r>
        <w:rPr>
          <w:rFonts w:ascii="Calibri" w:hAnsi="Calibri"/>
          <w:b w:val="0"/>
          <w:color w:val="2D3748"/>
          <w:sz w:val="19"/>
        </w:rPr>
        <w:t>NCF: Neural Collaborative Filtering</w:t>
      </w:r>
    </w:p>
    <w:p>
      <w:pPr>
        <w:spacing w:before="0" w:after="30" w:line="276" w:lineRule="auto"/>
        <w:ind w:left="680"/>
      </w:pPr>
      <w:r>
        <w:rPr>
          <w:rFonts w:ascii="Calibri" w:hAnsi="Calibri"/>
          <w:b w:val="0"/>
          <w:color w:val="2E7D8C"/>
          <w:sz w:val="19"/>
        </w:rPr>
        <w:t xml:space="preserve">4.4 </w:t>
      </w:r>
      <w:r>
        <w:rPr>
          <w:rFonts w:ascii="Calibri" w:hAnsi="Calibri"/>
          <w:b w:val="0"/>
          <w:color w:val="2D3748"/>
          <w:sz w:val="19"/>
        </w:rPr>
        <w:t>LightGCN: Graph Convolution</w:t>
      </w:r>
    </w:p>
    <w:p>
      <w:pPr>
        <w:spacing w:before="0" w:after="30" w:line="276" w:lineRule="auto"/>
        <w:ind w:left="680"/>
      </w:pPr>
      <w:r>
        <w:rPr>
          <w:rFonts w:ascii="Calibri" w:hAnsi="Calibri"/>
          <w:b w:val="0"/>
          <w:color w:val="2E7D8C"/>
          <w:sz w:val="19"/>
        </w:rPr>
        <w:t xml:space="preserve">4.5 </w:t>
      </w:r>
      <w:r>
        <w:rPr>
          <w:rFonts w:ascii="Calibri" w:hAnsi="Calibri"/>
          <w:b w:val="0"/>
          <w:color w:val="2D3748"/>
          <w:sz w:val="19"/>
        </w:rPr>
        <w:t>CMF: Collective Matrix Factorization</w:t>
      </w:r>
    </w:p>
    <w:p>
      <w:pPr>
        <w:spacing w:before="0" w:after="30" w:line="276" w:lineRule="auto"/>
        <w:ind w:left="680"/>
      </w:pPr>
      <w:r>
        <w:rPr>
          <w:rFonts w:ascii="Calibri" w:hAnsi="Calibri"/>
          <w:b w:val="0"/>
          <w:color w:val="2E7D8C"/>
          <w:sz w:val="19"/>
        </w:rPr>
        <w:t xml:space="preserve">4.6 </w:t>
      </w:r>
      <w:r>
        <w:rPr>
          <w:rFonts w:ascii="Calibri" w:hAnsi="Calibri"/>
          <w:b w:val="0"/>
          <w:color w:val="2D3748"/>
          <w:sz w:val="19"/>
        </w:rPr>
        <w:t>EMCDR: Cross-Domain Embedding Mapping</w:t>
      </w:r>
    </w:p>
    <w:p>
      <w:pPr>
        <w:spacing w:before="0" w:after="30" w:line="276" w:lineRule="auto"/>
        <w:ind w:left="680"/>
      </w:pPr>
      <w:r>
        <w:rPr>
          <w:rFonts w:ascii="Calibri" w:hAnsi="Calibri"/>
          <w:b w:val="0"/>
          <w:color w:val="2E7D8C"/>
          <w:sz w:val="19"/>
        </w:rPr>
        <w:t xml:space="preserve">4.7 </w:t>
      </w:r>
      <w:r>
        <w:rPr>
          <w:rFonts w:ascii="Calibri" w:hAnsi="Calibri"/>
          <w:b w:val="0"/>
          <w:color w:val="2D3748"/>
          <w:sz w:val="19"/>
        </w:rPr>
        <w:t>PTUPCDR: Personalized Transfer</w:t>
      </w:r>
    </w:p>
    <w:p>
      <w:pPr>
        <w:spacing w:before="0" w:after="30" w:line="276" w:lineRule="auto"/>
        <w:ind w:left="680"/>
      </w:pPr>
      <w:r>
        <w:rPr>
          <w:rFonts w:ascii="Calibri" w:hAnsi="Calibri"/>
          <w:b w:val="0"/>
          <w:color w:val="2E7D8C"/>
          <w:sz w:val="19"/>
        </w:rPr>
        <w:t xml:space="preserve">4.8 </w:t>
      </w:r>
      <w:r>
        <w:rPr>
          <w:rFonts w:ascii="Calibri" w:hAnsi="Calibri"/>
          <w:b w:val="0"/>
          <w:color w:val="2D3748"/>
          <w:sz w:val="19"/>
        </w:rPr>
        <w:t>SBERT-CDR: Content-Based Matching</w:t>
      </w:r>
    </w:p>
    <w:p>
      <w:pPr>
        <w:spacing w:before="0" w:after="30" w:line="276" w:lineRule="auto"/>
        <w:ind w:left="680"/>
      </w:pPr>
      <w:r>
        <w:rPr>
          <w:rFonts w:ascii="Calibri" w:hAnsi="Calibri"/>
          <w:b w:val="0"/>
          <w:color w:val="2E7D8C"/>
          <w:sz w:val="19"/>
        </w:rPr>
        <w:t xml:space="preserve">4.9 </w:t>
      </w:r>
      <w:r>
        <w:rPr>
          <w:rFonts w:ascii="Calibri" w:hAnsi="Calibri"/>
          <w:b w:val="0"/>
          <w:color w:val="2D3748"/>
          <w:sz w:val="19"/>
        </w:rPr>
        <w:t>Co-occurrence Reranking</w:t>
      </w:r>
    </w:p>
    <w:p>
      <w:pPr>
        <w:spacing w:before="0" w:after="50" w:line="276" w:lineRule="auto"/>
      </w:pPr>
      <w:r>
        <w:rPr>
          <w:rFonts w:ascii="Calibri" w:hAnsi="Calibri"/>
          <w:b/>
          <w:color w:val="1B2A4A"/>
          <w:sz w:val="19"/>
        </w:rPr>
        <w:t xml:space="preserve">5. </w:t>
      </w:r>
      <w:r>
        <w:rPr>
          <w:rFonts w:ascii="Calibri" w:hAnsi="Calibri"/>
          <w:b/>
          <w:color w:val="2D3748"/>
          <w:sz w:val="19"/>
        </w:rPr>
        <w:t>Experiments and Results</w:t>
      </w:r>
    </w:p>
    <w:p>
      <w:pPr>
        <w:spacing w:before="0" w:after="30" w:line="276" w:lineRule="auto"/>
        <w:ind w:left="680"/>
      </w:pPr>
      <w:r>
        <w:rPr>
          <w:rFonts w:ascii="Calibri" w:hAnsi="Calibri"/>
          <w:b w:val="0"/>
          <w:color w:val="2E7D8C"/>
          <w:sz w:val="19"/>
        </w:rPr>
        <w:t xml:space="preserve">5.1 </w:t>
      </w:r>
      <w:r>
        <w:rPr>
          <w:rFonts w:ascii="Calibri" w:hAnsi="Calibri"/>
          <w:b w:val="0"/>
          <w:color w:val="2D3748"/>
          <w:sz w:val="19"/>
        </w:rPr>
        <w:t>Lesson 1: Explicit vs Implicit Ranking</w:t>
      </w:r>
    </w:p>
    <w:p>
      <w:pPr>
        <w:spacing w:before="0" w:after="30" w:line="276" w:lineRule="auto"/>
        <w:ind w:left="680"/>
      </w:pPr>
      <w:r>
        <w:rPr>
          <w:rFonts w:ascii="Calibri" w:hAnsi="Calibri"/>
          <w:b w:val="0"/>
          <w:color w:val="2E7D8C"/>
          <w:sz w:val="19"/>
        </w:rPr>
        <w:t xml:space="preserve">5.2 </w:t>
      </w:r>
      <w:r>
        <w:rPr>
          <w:rFonts w:ascii="Calibri" w:hAnsi="Calibri"/>
          <w:b w:val="0"/>
          <w:color w:val="2D3748"/>
          <w:sz w:val="19"/>
        </w:rPr>
        <w:t>Lesson 2: Low Overlap Kills CDR</w:t>
      </w:r>
    </w:p>
    <w:p>
      <w:pPr>
        <w:spacing w:before="0" w:after="30" w:line="276" w:lineRule="auto"/>
        <w:ind w:left="680"/>
      </w:pPr>
      <w:r>
        <w:rPr>
          <w:rFonts w:ascii="Calibri" w:hAnsi="Calibri"/>
          <w:b w:val="0"/>
          <w:color w:val="2E7D8C"/>
          <w:sz w:val="19"/>
        </w:rPr>
        <w:t xml:space="preserve">5.3 </w:t>
      </w:r>
      <w:r>
        <w:rPr>
          <w:rFonts w:ascii="Calibri" w:hAnsi="Calibri"/>
          <w:b w:val="0"/>
          <w:color w:val="2D3748"/>
          <w:sz w:val="19"/>
        </w:rPr>
        <w:t>Lesson 3: Overlap Filtering Rescues CDR</w:t>
      </w:r>
    </w:p>
    <w:p>
      <w:pPr>
        <w:spacing w:before="0" w:after="30" w:line="276" w:lineRule="auto"/>
        <w:ind w:left="680"/>
      </w:pPr>
      <w:r>
        <w:rPr>
          <w:rFonts w:ascii="Calibri" w:hAnsi="Calibri"/>
          <w:b w:val="0"/>
          <w:color w:val="2E7D8C"/>
          <w:sz w:val="19"/>
        </w:rPr>
        <w:t xml:space="preserve">5.4 </w:t>
      </w:r>
      <w:r>
        <w:rPr>
          <w:rFonts w:ascii="Calibri" w:hAnsi="Calibri"/>
          <w:b w:val="0"/>
          <w:color w:val="2D3748"/>
          <w:sz w:val="19"/>
        </w:rPr>
        <w:t>Lesson 4: Source-Rich / Target-Sparse</w:t>
      </w:r>
    </w:p>
    <w:p>
      <w:pPr>
        <w:spacing w:before="0" w:after="30" w:line="276" w:lineRule="auto"/>
        <w:ind w:left="680"/>
      </w:pPr>
      <w:r>
        <w:rPr>
          <w:rFonts w:ascii="Calibri" w:hAnsi="Calibri"/>
          <w:b w:val="0"/>
          <w:color w:val="2E7D8C"/>
          <w:sz w:val="19"/>
        </w:rPr>
        <w:t xml:space="preserve">5.5 </w:t>
      </w:r>
      <w:r>
        <w:rPr>
          <w:rFonts w:ascii="Calibri" w:hAnsi="Calibri"/>
          <w:b w:val="0"/>
          <w:color w:val="2D3748"/>
          <w:sz w:val="19"/>
        </w:rPr>
        <w:t>Lesson 5: Catalog Sharpening</w:t>
      </w:r>
    </w:p>
    <w:p>
      <w:pPr>
        <w:spacing w:before="0" w:after="30" w:line="276" w:lineRule="auto"/>
        <w:ind w:left="680"/>
      </w:pPr>
      <w:r>
        <w:rPr>
          <w:rFonts w:ascii="Calibri" w:hAnsi="Calibri"/>
          <w:b w:val="0"/>
          <w:color w:val="2E7D8C"/>
          <w:sz w:val="19"/>
        </w:rPr>
        <w:t xml:space="preserve">5.6 </w:t>
      </w:r>
      <w:r>
        <w:rPr>
          <w:rFonts w:ascii="Calibri" w:hAnsi="Calibri"/>
          <w:b w:val="0"/>
          <w:color w:val="2D3748"/>
          <w:sz w:val="19"/>
        </w:rPr>
        <w:t>Lesson 6: Cold-Start Protocol</w:t>
      </w:r>
    </w:p>
    <w:p>
      <w:pPr>
        <w:spacing w:before="0" w:after="30" w:line="276" w:lineRule="auto"/>
        <w:ind w:left="680"/>
      </w:pPr>
      <w:r>
        <w:rPr>
          <w:rFonts w:ascii="Calibri" w:hAnsi="Calibri"/>
          <w:b w:val="0"/>
          <w:color w:val="2E7D8C"/>
          <w:sz w:val="19"/>
        </w:rPr>
        <w:t xml:space="preserve">5.7 </w:t>
      </w:r>
      <w:r>
        <w:rPr>
          <w:rFonts w:ascii="Calibri" w:hAnsi="Calibri"/>
          <w:b w:val="0"/>
          <w:color w:val="2D3748"/>
          <w:sz w:val="19"/>
        </w:rPr>
        <w:t>Lesson 7: Content-Aware CDR (SBERT)</w:t>
      </w:r>
    </w:p>
    <w:p>
      <w:pPr>
        <w:spacing w:before="0" w:after="30" w:line="276" w:lineRule="auto"/>
        <w:ind w:left="680"/>
      </w:pPr>
      <w:r>
        <w:rPr>
          <w:rFonts w:ascii="Calibri" w:hAnsi="Calibri"/>
          <w:b w:val="0"/>
          <w:color w:val="2E7D8C"/>
          <w:sz w:val="19"/>
        </w:rPr>
        <w:t xml:space="preserve">5.8 </w:t>
      </w:r>
      <w:r>
        <w:rPr>
          <w:rFonts w:ascii="Calibri" w:hAnsi="Calibri"/>
          <w:b w:val="0"/>
          <w:color w:val="2D3748"/>
          <w:sz w:val="19"/>
        </w:rPr>
        <w:t>Lesson 8: Co-occurrence Reranking</w:t>
      </w:r>
    </w:p>
    <w:p>
      <w:pPr>
        <w:spacing w:before="0" w:after="30" w:line="276" w:lineRule="auto"/>
        <w:ind w:left="680"/>
      </w:pPr>
      <w:r>
        <w:rPr>
          <w:rFonts w:ascii="Calibri" w:hAnsi="Calibri"/>
          <w:b w:val="0"/>
          <w:color w:val="2E7D8C"/>
          <w:sz w:val="19"/>
        </w:rPr>
        <w:t xml:space="preserve">5.9 </w:t>
      </w:r>
      <w:r>
        <w:rPr>
          <w:rFonts w:ascii="Calibri" w:hAnsi="Calibri"/>
          <w:b w:val="0"/>
          <w:color w:val="2D3748"/>
          <w:sz w:val="19"/>
        </w:rPr>
        <w:t>Hyperparameter Analysis</w:t>
      </w:r>
    </w:p>
    <w:p>
      <w:pPr>
        <w:spacing w:before="0" w:after="50" w:line="276" w:lineRule="auto"/>
      </w:pPr>
      <w:r>
        <w:rPr>
          <w:rFonts w:ascii="Calibri" w:hAnsi="Calibri"/>
          <w:b/>
          <w:color w:val="1B2A4A"/>
          <w:sz w:val="19"/>
        </w:rPr>
        <w:t xml:space="preserve">6. </w:t>
      </w:r>
      <w:r>
        <w:rPr>
          <w:rFonts w:ascii="Calibri" w:hAnsi="Calibri"/>
          <w:b/>
          <w:color w:val="2D3748"/>
          <w:sz w:val="19"/>
        </w:rPr>
        <w:t>Discussion</w:t>
      </w:r>
    </w:p>
    <w:p>
      <w:pPr>
        <w:spacing w:before="0" w:after="30" w:line="276" w:lineRule="auto"/>
        <w:ind w:left="680"/>
      </w:pPr>
      <w:r>
        <w:rPr>
          <w:rFonts w:ascii="Calibri" w:hAnsi="Calibri"/>
          <w:b w:val="0"/>
          <w:color w:val="2E7D8C"/>
          <w:sz w:val="19"/>
        </w:rPr>
        <w:t xml:space="preserve">6.1 </w:t>
      </w:r>
      <w:r>
        <w:rPr>
          <w:rFonts w:ascii="Calibri" w:hAnsi="Calibri"/>
          <w:b w:val="0"/>
          <w:color w:val="2D3748"/>
          <w:sz w:val="19"/>
        </w:rPr>
        <w:t>Routing Decision Rule</w:t>
      </w:r>
    </w:p>
    <w:p>
      <w:pPr>
        <w:spacing w:before="0" w:after="30" w:line="276" w:lineRule="auto"/>
        <w:ind w:left="680"/>
      </w:pPr>
      <w:r>
        <w:rPr>
          <w:rFonts w:ascii="Calibri" w:hAnsi="Calibri"/>
          <w:b w:val="0"/>
          <w:color w:val="2E7D8C"/>
          <w:sz w:val="19"/>
        </w:rPr>
        <w:t xml:space="preserve">6.2 </w:t>
      </w:r>
      <w:r>
        <w:rPr>
          <w:rFonts w:ascii="Calibri" w:hAnsi="Calibri"/>
          <w:b w:val="0"/>
          <w:color w:val="2D3748"/>
          <w:sz w:val="19"/>
        </w:rPr>
        <w:t>Key Insights</w:t>
      </w:r>
    </w:p>
    <w:p>
      <w:pPr>
        <w:spacing w:before="0" w:after="50" w:line="276" w:lineRule="auto"/>
      </w:pPr>
      <w:r>
        <w:rPr>
          <w:rFonts w:ascii="Calibri" w:hAnsi="Calibri"/>
          <w:b/>
          <w:color w:val="1B2A4A"/>
          <w:sz w:val="19"/>
        </w:rPr>
        <w:t xml:space="preserve">7. </w:t>
      </w:r>
      <w:r>
        <w:rPr>
          <w:rFonts w:ascii="Calibri" w:hAnsi="Calibri"/>
          <w:b/>
          <w:color w:val="2D3748"/>
          <w:sz w:val="19"/>
        </w:rPr>
        <w:t>System Design</w:t>
      </w:r>
    </w:p>
    <w:p>
      <w:pPr>
        <w:spacing w:before="0" w:after="30" w:line="276" w:lineRule="auto"/>
        <w:ind w:left="680"/>
      </w:pPr>
      <w:r>
        <w:rPr>
          <w:rFonts w:ascii="Calibri" w:hAnsi="Calibri"/>
          <w:b w:val="0"/>
          <w:color w:val="2E7D8C"/>
          <w:sz w:val="19"/>
        </w:rPr>
        <w:t xml:space="preserve">7.1 </w:t>
      </w:r>
      <w:r>
        <w:rPr>
          <w:rFonts w:ascii="Calibri" w:hAnsi="Calibri"/>
          <w:b w:val="0"/>
          <w:color w:val="2D3748"/>
          <w:sz w:val="19"/>
        </w:rPr>
        <w:t>High-Level Architecture</w:t>
      </w:r>
    </w:p>
    <w:p>
      <w:pPr>
        <w:spacing w:before="0" w:after="30" w:line="276" w:lineRule="auto"/>
        <w:ind w:left="680"/>
      </w:pPr>
      <w:r>
        <w:rPr>
          <w:rFonts w:ascii="Calibri" w:hAnsi="Calibri"/>
          <w:b w:val="0"/>
          <w:color w:val="2E7D8C"/>
          <w:sz w:val="19"/>
        </w:rPr>
        <w:t xml:space="preserve">7.2 </w:t>
      </w:r>
      <w:r>
        <w:rPr>
          <w:rFonts w:ascii="Calibri" w:hAnsi="Calibri"/>
          <w:b w:val="0"/>
          <w:color w:val="2D3748"/>
          <w:sz w:val="19"/>
        </w:rPr>
        <w:t>Recommendation Flow</w:t>
      </w:r>
    </w:p>
    <w:p>
      <w:pPr>
        <w:spacing w:before="0" w:after="30" w:line="276" w:lineRule="auto"/>
        <w:ind w:left="680"/>
      </w:pPr>
      <w:r>
        <w:rPr>
          <w:rFonts w:ascii="Calibri" w:hAnsi="Calibri"/>
          <w:b w:val="0"/>
          <w:color w:val="2E7D8C"/>
          <w:sz w:val="19"/>
        </w:rPr>
        <w:t xml:space="preserve">7.3 </w:t>
      </w:r>
      <w:r>
        <w:rPr>
          <w:rFonts w:ascii="Calibri" w:hAnsi="Calibri"/>
          <w:b w:val="0"/>
          <w:color w:val="2D3748"/>
          <w:sz w:val="19"/>
        </w:rPr>
        <w:t>Frontend Architecture</w:t>
      </w:r>
    </w:p>
    <w:p>
      <w:pPr>
        <w:spacing w:before="0" w:after="30" w:line="276" w:lineRule="auto"/>
        <w:ind w:left="680"/>
      </w:pPr>
      <w:r>
        <w:rPr>
          <w:rFonts w:ascii="Calibri" w:hAnsi="Calibri"/>
          <w:b w:val="0"/>
          <w:color w:val="2E7D8C"/>
          <w:sz w:val="19"/>
        </w:rPr>
        <w:t xml:space="preserve">7.4 </w:t>
      </w:r>
      <w:r>
        <w:rPr>
          <w:rFonts w:ascii="Calibri" w:hAnsi="Calibri"/>
          <w:b w:val="0"/>
          <w:color w:val="2D3748"/>
          <w:sz w:val="19"/>
        </w:rPr>
        <w:t>Refresh Architecture</w:t>
      </w:r>
    </w:p>
    <w:p>
      <w:pPr>
        <w:spacing w:before="0" w:after="30" w:line="276" w:lineRule="auto"/>
        <w:ind w:left="680"/>
      </w:pPr>
      <w:r>
        <w:rPr>
          <w:rFonts w:ascii="Calibri" w:hAnsi="Calibri"/>
          <w:b w:val="0"/>
          <w:color w:val="2E7D8C"/>
          <w:sz w:val="19"/>
        </w:rPr>
        <w:t xml:space="preserve">7.5 </w:t>
      </w:r>
      <w:r>
        <w:rPr>
          <w:rFonts w:ascii="Calibri" w:hAnsi="Calibri"/>
          <w:b w:val="0"/>
          <w:color w:val="2D3748"/>
          <w:sz w:val="19"/>
        </w:rPr>
        <w:t>Key Design Decisions</w:t>
      </w:r>
    </w:p>
    <w:p>
      <w:pPr/>
      <w:r>
        <w:t>7.6 Model Selection Rationale</w:t>
      </w:r>
    </w:p>
    <w:p>
      <w:pPr>
        <w:spacing w:before="0" w:after="50" w:line="276" w:lineRule="auto"/>
      </w:pPr>
      <w:r>
        <w:rPr>
          <w:rFonts w:ascii="Calibri" w:hAnsi="Calibri"/>
          <w:b/>
          <w:color w:val="1B2A4A"/>
          <w:sz w:val="19"/>
        </w:rPr>
        <w:t xml:space="preserve">8. </w:t>
      </w:r>
      <w:r>
        <w:rPr>
          <w:rFonts w:ascii="Calibri" w:hAnsi="Calibri"/>
          <w:b/>
          <w:color w:val="2D3748"/>
          <w:sz w:val="19"/>
        </w:rPr>
        <w:t>Conclusion and Future Work</w:t>
      </w:r>
    </w:p>
    <w:p>
      <w:pPr>
        <w:spacing w:before="0" w:after="50" w:line="276" w:lineRule="auto"/>
      </w:pPr>
      <w:r>
        <w:rPr>
          <w:rFonts w:ascii="Calibri" w:hAnsi="Calibri"/>
          <w:b/>
          <w:color w:val="1B2A4A"/>
          <w:sz w:val="19"/>
        </w:rPr>
        <w:t xml:space="preserve">9. </w:t>
      </w:r>
      <w:r>
        <w:rPr>
          <w:rFonts w:ascii="Calibri" w:hAnsi="Calibri"/>
          <w:b/>
          <w:color w:val="2D3748"/>
          <w:sz w:val="19"/>
        </w:rPr>
        <w:t>References</w:t>
      </w:r>
    </w:p>
    <w:p>
      <w:pPr>
        <w:pStyle w:val="Heading1"/>
        <w:pBdr>
          <w:bottom w:val="single" w:sz="8" w:space="4" w:color="2E7D8C"/>
        </w:pBdr>
        <w:spacing w:before="360" w:after="200" w:line="276" w:lineRule="auto"/>
      </w:pPr>
      <w:r>
        <w:rPr>
          <w:rFonts w:ascii="Calibri" w:hAnsi="Calibri"/>
          <w:color w:val="1B2A4A"/>
        </w:rPr>
        <w:t>1. Executive Summary</w:t>
      </w:r>
    </w:p>
    <w:p>
      <w:pPr>
        <w:spacing w:before="0" w:after="120" w:line="276" w:lineRule="auto"/>
      </w:pPr>
      <w:r>
        <w:rPr>
          <w:rFonts w:ascii="Calibri" w:hAnsi="Calibri"/>
          <w:color w:val="2D3748"/>
          <w:sz w:val="21"/>
        </w:rPr>
        <w:t>This project investigates cross-domain recommendation (CDR) for transferring user preferences from movies to video games using the Amazon Reviews 2023 dataset. The central research question is: can a user's movie watching history improve game recommendations, particularly for users with little or no game interaction history?</w:t>
      </w:r>
    </w:p>
    <w:p>
      <w:pPr>
        <w:spacing w:before="0" w:after="120" w:line="276" w:lineRule="auto"/>
      </w:pPr>
      <w:r>
        <w:rPr>
          <w:rFonts w:ascii="Calibri" w:hAnsi="Calibri"/>
          <w:color w:val="2D3748"/>
          <w:sz w:val="21"/>
        </w:rPr>
        <w:t>We conduct a systematic, lesson-by-lesson experimental study comparing 8 recommendation models across 3 families: single-domain collaborative filtering (MF-BPR, NCF, LightGCN), cross-domain transfer models (CMF, EMCDR, PTUPCDR), and content-based models (SBERT, SBERT-CDR). Each lesson isolates a single experimental variable — user overlap ratio, source domain richness, catalog filtering, cold-start conditions, and post-processing — to understand what drives cross-domain transfer effectiveness.</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Findings</w:t>
            </w:r>
          </w:p>
          <w:p>
            <w:r>
              <w:rPr>
                <w:rFonts w:ascii="Calibri" w:hAnsi="Calibri"/>
                <w:color w:val="2D3748"/>
                <w:sz w:val="19"/>
              </w:rPr>
              <w:t>(1) CDR models require high user overlap (100% vs 5.8%) to outperform single-domain baselines. (2) At cold-start (zero game history), CDR models achieve 4× better Recall@10 than LightGCN. (3) A simple, training-free co-occurrence reranking layer improves every model by 5–49% on standard evaluation and rescues single-domain models at cold-start (+289% for LightGCN). (4) SBERT content embeddings win 11× over collaborative models on niche/unpopular items. These findings justify a routing rule: select the model based on the user's game history depth and item popularity.</w:t>
            </w:r>
          </w:p>
        </w:tc>
      </w:tr>
    </w:tbl>
    <w:p>
      <w:pPr>
        <w:jc w:val="center"/>
      </w:pPr>
      <w:r>
        <w:drawing>
          <wp:inline xmlns:a="http://schemas.openxmlformats.org/drawingml/2006/main" xmlns:pic="http://schemas.openxmlformats.org/drawingml/2006/picture">
            <wp:extent cx="4754880" cy="2543308"/>
            <wp:docPr id="1" name="Picture 1"/>
            <wp:cNvGraphicFramePr>
              <a:graphicFrameLocks noChangeAspect="1"/>
            </wp:cNvGraphicFramePr>
            <a:graphic>
              <a:graphicData uri="http://schemas.openxmlformats.org/drawingml/2006/picture">
                <pic:pic>
                  <pic:nvPicPr>
                    <pic:cNvPr id="0" name="model_family_strengths.png"/>
                    <pic:cNvPicPr/>
                  </pic:nvPicPr>
                  <pic:blipFill>
                    <a:blip r:embed="rId9"/>
                    <a:stretch>
                      <a:fillRect/>
                    </a:stretch>
                  </pic:blipFill>
                  <pic:spPr>
                    <a:xfrm>
                      <a:off x="0" y="0"/>
                      <a:ext cx="4754880" cy="2543308"/>
                    </a:xfrm>
                    <a:prstGeom prst="rect"/>
                  </pic:spPr>
                </pic:pic>
              </a:graphicData>
            </a:graphic>
          </wp:inline>
        </w:drawing>
      </w:r>
    </w:p>
    <w:p>
      <w:pPr>
        <w:jc w:val="center"/>
        <w:spacing w:before="30" w:after="120" w:line="276" w:lineRule="auto"/>
      </w:pPr>
      <w:r>
        <w:rPr>
          <w:rFonts w:ascii="Calibri" w:hAnsi="Calibri"/>
          <w:i/>
          <w:color w:val="64748B"/>
          <w:sz w:val="18"/>
        </w:rPr>
        <w:t>Figure 1: Model Family Strengths Across User Contexts</w:t>
      </w:r>
    </w:p>
    <w:p>
      <w:r>
        <w:br w:type="page"/>
      </w:r>
    </w:p>
    <w:p>
      <w:pPr>
        <w:pStyle w:val="Heading1"/>
        <w:pBdr>
          <w:bottom w:val="single" w:sz="8" w:space="4" w:color="2E7D8C"/>
        </w:pBdr>
        <w:spacing w:before="360" w:after="200" w:line="276" w:lineRule="auto"/>
      </w:pPr>
      <w:r>
        <w:rPr>
          <w:rFonts w:ascii="Calibri" w:hAnsi="Calibri"/>
          <w:color w:val="1B2A4A"/>
        </w:rPr>
        <w:t>2. Introduction</w:t>
      </w:r>
    </w:p>
    <w:p>
      <w:pPr>
        <w:pStyle w:val="Heading2"/>
        <w:spacing w:before="280" w:after="160" w:line="276" w:lineRule="auto"/>
      </w:pPr>
      <w:r>
        <w:rPr>
          <w:rFonts w:ascii="Calibri" w:hAnsi="Calibri"/>
          <w:color w:val="3D5A80"/>
        </w:rPr>
        <w:t>2.1 Background and Problem Statement</w:t>
      </w:r>
    </w:p>
    <w:p>
      <w:pPr>
        <w:spacing w:before="0" w:after="120" w:line="276" w:lineRule="auto"/>
      </w:pPr>
      <w:r>
        <w:rPr>
          <w:rFonts w:ascii="Calibri" w:hAnsi="Calibri"/>
          <w:color w:val="2D3748"/>
          <w:sz w:val="21"/>
        </w:rPr>
        <w:t>Most recommendation systems are single-domain: they recommend items based solely on a user's interaction history within that domain. Cross-Domain Recommendation (CDR) transfers knowledge from a source domain (movies) to a target domain (games), addressing the cold-start problem — when a user has no target-domain history, CDR leverages their source-domain preferences.</w:t>
      </w:r>
    </w:p>
    <w:p>
      <w:pPr>
        <w:jc w:val="center"/>
      </w:pPr>
      <w:r>
        <w:drawing>
          <wp:inline xmlns:a="http://schemas.openxmlformats.org/drawingml/2006/main" xmlns:pic="http://schemas.openxmlformats.org/drawingml/2006/picture">
            <wp:extent cx="4572000" cy="2266790"/>
            <wp:docPr id="2" name="Picture 2"/>
            <wp:cNvGraphicFramePr>
              <a:graphicFrameLocks noChangeAspect="1"/>
            </wp:cNvGraphicFramePr>
            <a:graphic>
              <a:graphicData uri="http://schemas.openxmlformats.org/drawingml/2006/picture">
                <pic:pic>
                  <pic:nvPicPr>
                    <pic:cNvPr id="0" name="cdr_concept.png"/>
                    <pic:cNvPicPr/>
                  </pic:nvPicPr>
                  <pic:blipFill>
                    <a:blip r:embed="rId10"/>
                    <a:stretch>
                      <a:fillRect/>
                    </a:stretch>
                  </pic:blipFill>
                  <pic:spPr>
                    <a:xfrm>
                      <a:off x="0" y="0"/>
                      <a:ext cx="4572000" cy="2266790"/>
                    </a:xfrm>
                    <a:prstGeom prst="rect"/>
                  </pic:spPr>
                </pic:pic>
              </a:graphicData>
            </a:graphic>
          </wp:inline>
        </w:drawing>
      </w:r>
    </w:p>
    <w:p>
      <w:pPr>
        <w:jc w:val="center"/>
        <w:spacing w:before="30" w:after="120" w:line="276" w:lineRule="auto"/>
      </w:pPr>
      <w:r>
        <w:rPr>
          <w:rFonts w:ascii="Calibri" w:hAnsi="Calibri"/>
          <w:i/>
          <w:color w:val="64748B"/>
          <w:sz w:val="18"/>
        </w:rPr>
        <w:t>Figure 2: Cross-domain recommendation concept — transferring movie preferences to game recommendations</w:t>
      </w:r>
    </w:p>
    <w:p>
      <w:pPr>
        <w:pStyle w:val="Heading2"/>
        <w:spacing w:before="280" w:after="160" w:line="276" w:lineRule="auto"/>
      </w:pPr>
      <w:r>
        <w:rPr>
          <w:rFonts w:ascii="Calibri" w:hAnsi="Calibri"/>
          <w:color w:val="3D5A80"/>
        </w:rPr>
        <w:t>2.2 Research Methodology and Experiment Design</w:t>
      </w:r>
    </w:p>
    <w:p>
      <w:pPr>
        <w:spacing w:before="0" w:after="120" w:line="276" w:lineRule="auto"/>
      </w:pPr>
      <w:r>
        <w:rPr>
          <w:rFonts w:ascii="Calibri" w:hAnsi="Calibri"/>
          <w:color w:val="2D3748"/>
          <w:sz w:val="21"/>
        </w:rPr>
        <w:t>The experiments presented in this report are structured as a clean, progressive lesson series — but the path to this structure was far less linear. This section describes our actual research process, the challenges encountered, and how the final experiment design emerged from extensive exploratory work.</w:t>
      </w:r>
    </w:p>
    <w:p>
      <w:pPr>
        <w:pStyle w:val="Heading3"/>
        <w:spacing w:before="200" w:after="120" w:line="276" w:lineRule="auto"/>
      </w:pPr>
      <w:r>
        <w:rPr>
          <w:rFonts w:ascii="Calibri" w:hAnsi="Calibri"/>
          <w:color w:val="2E7D8C"/>
        </w:rPr>
        <w:t>Phase 1: Literature Review and Infrastructure Setup</w:t>
      </w:r>
    </w:p>
    <w:p>
      <w:pPr>
        <w:spacing w:before="0" w:after="120" w:line="276" w:lineRule="auto"/>
      </w:pPr>
      <w:r>
        <w:rPr>
          <w:rFonts w:ascii="Calibri" w:hAnsi="Calibri"/>
          <w:color w:val="2D3748"/>
          <w:sz w:val="21"/>
        </w:rPr>
        <w:t>We began by studying the internal mechanisms of cross-domain recommendation algorithms — how models like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and three single-domain baselines (matrix factorization, neural, graph-based) to ensure fair comparison across model families.</w:t>
      </w:r>
    </w:p>
    <w:p>
      <w:pPr>
        <w:spacing w:before="0" w:after="120" w:line="276" w:lineRule="auto"/>
      </w:pPr>
      <w:r>
        <w:rPr>
          <w:rFonts w:ascii="Calibri" w:hAnsi="Calibri"/>
          <w:color w:val="2D3748"/>
          <w:sz w:val="21"/>
        </w:rPr>
        <w:t>We then built the base infrastructure: a data processing pipeline (raw Amazon reviews to filtered Parquet files), a standardized evaluation framework (full-rank and sampled protocols at K=10), and a benchmarking harness that ensures all models are evaluated on identical data splits. All models were implemented using publicly available libraries (RecBole, RecBole-CDR, PyTorch, scikit-learn) to avoid re-inventing the wheel and ensure reproducibility.</w:t>
      </w:r>
    </w:p>
    <w:p>
      <w:pPr>
        <w:pStyle w:val="Heading3"/>
        <w:spacing w:before="200" w:after="120" w:line="276" w:lineRule="auto"/>
      </w:pPr>
      <w:r>
        <w:rPr>
          <w:rFonts w:ascii="Calibri" w:hAnsi="Calibri"/>
          <w:color w:val="2E7D8C"/>
        </w:rPr>
        <w:t>Phase 2: Exploratory Benchmarking and the CDR Disappointment</w:t>
      </w:r>
    </w:p>
    <w:p>
      <w:pPr>
        <w:spacing w:before="0" w:after="120" w:line="276" w:lineRule="auto"/>
      </w:pPr>
      <w:r>
        <w:rPr>
          <w:rFonts w:ascii="Calibri" w:hAnsi="Calibri"/>
          <w:color w:val="2D3748"/>
          <w:sz w:val="21"/>
        </w:rPr>
        <w:t>With the infrastructure in place, we ran extensive benchmarks comparing single-domain and cross-domain models across different data configurations. The initial results were consistently discouraging for CDR: LightGCN (a single-domain graph model) outperformed all CDR models in nearly every setting — including on user cohorts with rich movie history (&gt;10 ratings) but sparse game history (3–5 ratings), precisely the regime where CDR is expected to excel.</w:t>
      </w:r>
    </w:p>
    <w:p>
      <w:pPr>
        <w:spacing w:before="0" w:after="120" w:line="276" w:lineRule="auto"/>
      </w:pPr>
      <w:r>
        <w:rPr>
          <w:rFonts w:ascii="Calibri" w:hAnsi="Calibri"/>
          <w:color w:val="2D3748"/>
          <w:sz w:val="21"/>
        </w:rPr>
        <w:t>We spent considerable effort trying different data configurations, user cohort filters, and hyperparameter settings. The CDR models consistently failed to demonstrate a clear advantage over the single-domain baseline. This raised a fundamental question: is the movie-to-game transfer signal in the Amazon dataset simply too weak for CDR to exploit?</w:t>
      </w:r>
    </w:p>
    <w:p>
      <w:pPr>
        <w:pStyle w:val="Heading3"/>
        <w:spacing w:before="200" w:after="120" w:line="276" w:lineRule="auto"/>
      </w:pPr>
      <w:r>
        <w:rPr>
          <w:rFonts w:ascii="Calibri" w:hAnsi="Calibri"/>
          <w:color w:val="2E7D8C"/>
        </w:rPr>
        <w:t>Phase 3: Revisiting CDR Theory and Finding the Right Data Regime</w:t>
      </w:r>
    </w:p>
    <w:p>
      <w:pPr>
        <w:spacing w:before="0" w:after="120" w:line="276" w:lineRule="auto"/>
      </w:pPr>
      <w:r>
        <w:rPr>
          <w:rFonts w:ascii="Calibri" w:hAnsi="Calibri"/>
          <w:color w:val="2D3748"/>
          <w:sz w:val="21"/>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Insight</w:t>
            </w:r>
          </w:p>
          <w:p>
            <w:r>
              <w:rPr>
                <w:rFonts w:ascii="Calibri" w:hAnsi="Calibri"/>
                <w:color w:val="2D3748"/>
                <w:sz w:val="19"/>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by 4×. The algorithms were not broken — the data regime was wrong.</w:t>
            </w:r>
          </w:p>
        </w:tc>
      </w:tr>
    </w:tbl>
    <w:p>
      <w:pPr>
        <w:pStyle w:val="Heading3"/>
        <w:spacing w:before="200" w:after="120" w:line="276" w:lineRule="auto"/>
      </w:pPr>
      <w:r>
        <w:rPr>
          <w:rFonts w:ascii="Calibri" w:hAnsi="Calibri"/>
          <w:color w:val="2E7D8C"/>
        </w:rPr>
        <w:t>Phase 4: Discovering Complementary Approaches</w:t>
      </w:r>
    </w:p>
    <w:p>
      <w:pPr>
        <w:spacing w:before="0" w:after="120" w:line="276" w:lineRule="auto"/>
      </w:pPr>
      <w:r>
        <w:rPr>
          <w:rFonts w:ascii="Calibri" w:hAnsi="Calibri"/>
          <w:color w:val="2D3748"/>
          <w:sz w:val="21"/>
        </w:rPr>
        <w:t>Along the way, we made two additional discoveries. First, a simple content-aware approach (SBERT sentence embeddings) performed surprisingly well — matching LightGCN overall and dominating 9–11× on niche/unpopular items. This reinforced a recurring theme: sophisticated model architecture does not guarantee better recommendations. What matters most is whether the model has access to the right signal for the right user segment.</w:t>
      </w:r>
    </w:p>
    <w:p>
      <w:pPr>
        <w:spacing w:before="0" w:after="120" w:line="276" w:lineRule="auto"/>
      </w:pPr>
      <w:r>
        <w:rPr>
          <w:rFonts w:ascii="Calibri" w:hAnsi="Calibri"/>
          <w:color w:val="2D3748"/>
          <w:sz w:val="21"/>
        </w:rPr>
        <w:t>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 unexpectedly powerful result.</w:t>
      </w:r>
    </w:p>
    <w:p>
      <w:pPr>
        <w:pStyle w:val="Heading3"/>
        <w:spacing w:before="200" w:after="120" w:line="276" w:lineRule="auto"/>
      </w:pPr>
      <w:r>
        <w:rPr>
          <w:rFonts w:ascii="Calibri" w:hAnsi="Calibri"/>
          <w:color w:val="2E7D8C"/>
        </w:rPr>
        <w:t>Phase 5: From Exploration to Structured Lessons</w:t>
      </w:r>
    </w:p>
    <w:p>
      <w:pPr>
        <w:spacing w:before="0" w:after="120" w:line="276" w:lineRule="auto"/>
      </w:pPr>
      <w:r>
        <w:rPr>
          <w:rFonts w:ascii="Calibri" w:hAnsi="Calibri"/>
          <w:color w:val="2D3748"/>
          <w:sz w:val="21"/>
        </w:rPr>
        <w:t>With all findings in hand, we designed the final lesson series to present our discoveries as a progressive, pedagogically clear sequence. Each lesson isolates one experimental variable and builds on the previous lesson's conclusion. This structure was designed retrospectively — the actual research process involved many more experiments, several of which produced null results and were not included.</w:t>
      </w:r>
    </w:p>
    <w:p>
      <w:pPr>
        <w:spacing w:before="0" w:after="120" w:line="276" w:lineRule="auto"/>
      </w:pPr>
      <w:r>
        <w:rPr>
          <w:rFonts w:ascii="Calibri" w:hAnsi="Calibri"/>
          <w:color w:val="2D3748"/>
          <w:sz w:val="21"/>
        </w:rPr>
        <w:t>For example, in Lesson 5 (Catalog Sharpening), we hypothesized that removing long-tail movie items with very few ratings would produce denser, higher-quality source embeddings and improve CDR transfer. We tested genre whitelisting, overlap-user item filtering, and movie popularity thresholds as ablations. The result was largely null — filtering hurt single-domain LightGCN (smaller training catalog) and produced mixed results for CDR models. We included this lesson precisely because the null result is informative: it demonstrates that catalog manipulation is not a reliable lever for improving CDR, shifting attention to user-side factors (overlap ratio, source richness) instead.</w:t>
      </w:r>
    </w:p>
    <w:p>
      <w:pPr>
        <w:spacing w:before="0" w:after="120" w:line="276" w:lineRule="auto"/>
      </w:pPr>
      <w:r>
        <w:rPr>
          <w:rFonts w:ascii="Calibri" w:hAnsi="Calibri"/>
          <w:color w:val="2D3748"/>
          <w:sz w:val="21"/>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 The lessons presented are the experiments that deepened our understanding — not necessarily the first experiments we ran.</w:t>
      </w:r>
    </w:p>
    <w:p>
      <w:pPr>
        <w:jc w:val="center"/>
      </w:pPr>
      <w:r>
        <w:drawing>
          <wp:inline xmlns:a="http://schemas.openxmlformats.org/drawingml/2006/main" xmlns:pic="http://schemas.openxmlformats.org/drawingml/2006/picture">
            <wp:extent cx="4572000" cy="2105094"/>
            <wp:docPr id="3" name="Picture 3"/>
            <wp:cNvGraphicFramePr>
              <a:graphicFrameLocks noChangeAspect="1"/>
            </wp:cNvGraphicFramePr>
            <a:graphic>
              <a:graphicData uri="http://schemas.openxmlformats.org/drawingml/2006/picture">
                <pic:pic>
                  <pic:nvPicPr>
                    <pic:cNvPr id="0" name="lesson_flow.png"/>
                    <pic:cNvPicPr/>
                  </pic:nvPicPr>
                  <pic:blipFill>
                    <a:blip r:embed="rId11"/>
                    <a:stretch>
                      <a:fillRect/>
                    </a:stretch>
                  </pic:blipFill>
                  <pic:spPr>
                    <a:xfrm>
                      <a:off x="0" y="0"/>
                      <a:ext cx="4572000" cy="2105094"/>
                    </a:xfrm>
                    <a:prstGeom prst="rect"/>
                  </pic:spPr>
                </pic:pic>
              </a:graphicData>
            </a:graphic>
          </wp:inline>
        </w:drawing>
      </w:r>
    </w:p>
    <w:p>
      <w:pPr>
        <w:jc w:val="center"/>
        <w:spacing w:before="30" w:after="120" w:line="276" w:lineRule="auto"/>
      </w:pPr>
      <w:r>
        <w:rPr>
          <w:rFonts w:ascii="Calibri" w:hAnsi="Calibri"/>
          <w:i/>
          <w:color w:val="64748B"/>
          <w:sz w:val="18"/>
        </w:rPr>
        <w:t>Figure 3: From Many Exploratory Experiments to 8 Curated Lessons</w:t>
      </w:r>
    </w:p>
    <w:p>
      <w:pPr>
        <w:pStyle w:val="Heading2"/>
        <w:spacing w:before="280" w:after="160" w:line="276" w:lineRule="auto"/>
      </w:pPr>
      <w:r>
        <w:rPr>
          <w:rFonts w:ascii="Calibri" w:hAnsi="Calibri"/>
          <w:color w:val="3D5A80"/>
        </w:rPr>
        <w:t>2.3 Aim and Objectives</w:t>
      </w:r>
    </w:p>
    <w:p>
      <w:pPr>
        <w:pStyle w:val="ListBullet"/>
      </w:pPr>
      <w:r>
        <w:rPr>
          <w:rFonts w:ascii="Calibri" w:hAnsi="Calibri"/>
          <w:color w:val="2D3748"/>
          <w:sz w:val="20"/>
        </w:rPr>
        <w:t>Compare explicit rating prediction vs implicit ranking approaches for recommendation (Lesson 1)</w:t>
      </w:r>
    </w:p>
    <w:p>
      <w:pPr>
        <w:pStyle w:val="ListBullet"/>
      </w:pPr>
      <w:r>
        <w:rPr>
          <w:rFonts w:ascii="Calibri" w:hAnsi="Calibri"/>
          <w:color w:val="2D3748"/>
          <w:sz w:val="20"/>
        </w:rPr>
        <w:t>Evaluate whether CDR models improve over single-domain models on naturally mixed populations with low user overlap (Lesson 2)</w:t>
      </w:r>
    </w:p>
    <w:p>
      <w:pPr>
        <w:pStyle w:val="ListBullet"/>
      </w:pPr>
      <w:r>
        <w:rPr>
          <w:rFonts w:ascii="Calibri" w:hAnsi="Calibri"/>
          <w:color w:val="2D3748"/>
          <w:sz w:val="20"/>
        </w:rPr>
        <w:t>Measure the impact of user overlap ratio on CDR effectiveness by filtering to 100% overlap users (Lesson 3)</w:t>
      </w:r>
    </w:p>
    <w:p>
      <w:pPr>
        <w:pStyle w:val="ListBullet"/>
      </w:pPr>
      <w:r>
        <w:rPr>
          <w:rFonts w:ascii="Calibri" w:hAnsi="Calibri"/>
          <w:color w:val="2D3748"/>
          <w:sz w:val="20"/>
        </w:rPr>
        <w:t>Investigate how source-domain richness (number of movie ratings) affects CDR transfer quality (Lesson 4)</w:t>
      </w:r>
    </w:p>
    <w:p>
      <w:pPr>
        <w:pStyle w:val="ListBullet"/>
      </w:pPr>
      <w:r>
        <w:rPr>
          <w:rFonts w:ascii="Calibri" w:hAnsi="Calibri"/>
          <w:color w:val="2D3748"/>
          <w:sz w:val="20"/>
        </w:rPr>
        <w:t>Test whether catalog sharpening (removing noisy items) improves CDR performance (Lesson 5)</w:t>
      </w:r>
    </w:p>
    <w:p>
      <w:pPr>
        <w:pStyle w:val="ListBullet"/>
      </w:pPr>
      <w:r>
        <w:rPr>
          <w:rFonts w:ascii="Calibri" w:hAnsi="Calibri"/>
          <w:color w:val="2D3748"/>
          <w:sz w:val="20"/>
        </w:rPr>
        <w:t>Evaluate CDR under true cold-start conditions where users have zero target-domain history (Lesson 6)</w:t>
      </w:r>
    </w:p>
    <w:p>
      <w:pPr>
        <w:pStyle w:val="ListBullet"/>
      </w:pPr>
      <w:r>
        <w:rPr>
          <w:rFonts w:ascii="Calibri" w:hAnsi="Calibri"/>
          <w:color w:val="2D3748"/>
          <w:sz w:val="20"/>
        </w:rPr>
        <w:t>Assess content-based SBERT embeddings as a cross-domain bridge for niche items (Lesson 7)</w:t>
      </w:r>
    </w:p>
    <w:p>
      <w:pPr>
        <w:pStyle w:val="ListBullet"/>
      </w:pPr>
      <w:r>
        <w:rPr>
          <w:rFonts w:ascii="Calibri" w:hAnsi="Calibri"/>
          <w:color w:val="2D3748"/>
          <w:sz w:val="20"/>
        </w:rPr>
        <w:t>Test co-occurrence reranking as a universal post-processing layer across all models and regimes (Lesson 8)</w:t>
      </w:r>
    </w:p>
    <w:p>
      <w:r>
        <w:br w:type="page"/>
      </w:r>
    </w:p>
    <w:p>
      <w:pPr>
        <w:pStyle w:val="Heading1"/>
        <w:pBdr>
          <w:bottom w:val="single" w:sz="8" w:space="4" w:color="2E7D8C"/>
        </w:pBdr>
        <w:spacing w:before="360" w:after="200" w:line="276" w:lineRule="auto"/>
      </w:pPr>
      <w:r>
        <w:rPr>
          <w:rFonts w:ascii="Calibri" w:hAnsi="Calibri"/>
          <w:color w:val="1B2A4A"/>
        </w:rPr>
        <w:t>3. Data</w:t>
      </w:r>
    </w:p>
    <w:p>
      <w:pPr>
        <w:pStyle w:val="Heading2"/>
        <w:spacing w:before="280" w:after="160" w:line="276" w:lineRule="auto"/>
      </w:pPr>
      <w:r>
        <w:rPr>
          <w:rFonts w:ascii="Calibri" w:hAnsi="Calibri"/>
          <w:color w:val="3D5A80"/>
        </w:rPr>
        <w:t>3.1 Data Source</w:t>
      </w:r>
    </w:p>
    <w:p>
      <w:pPr>
        <w:spacing w:before="0" w:after="120" w:line="276" w:lineRule="auto"/>
      </w:pPr>
      <w:r>
        <w:rPr>
          <w:rFonts w:ascii="Calibri" w:hAnsi="Calibri"/>
          <w:color w:val="2D3748"/>
          <w:sz w:val="21"/>
        </w:rPr>
        <w:t>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Ratings are on a 1–5 star scale. We convert to implicit feedback by treating ratings ≥ 4 as positive interactions (POSITIVE_THRESHOLD = 4). This threshold is consistent across all experiments.</w:t>
      </w:r>
    </w:p>
    <w:p>
      <w:pPr>
        <w:jc w:val="center"/>
      </w:pPr>
      <w:r>
        <w:drawing>
          <wp:inline xmlns:a="http://schemas.openxmlformats.org/drawingml/2006/main" xmlns:pic="http://schemas.openxmlformats.org/drawingml/2006/picture">
            <wp:extent cx="4572000" cy="1736651"/>
            <wp:docPr id="4" name="Picture 4"/>
            <wp:cNvGraphicFramePr>
              <a:graphicFrameLocks noChangeAspect="1"/>
            </wp:cNvGraphicFramePr>
            <a:graphic>
              <a:graphicData uri="http://schemas.openxmlformats.org/drawingml/2006/picture">
                <pic:pic>
                  <pic:nvPicPr>
                    <pic:cNvPr id="0" name="data_pipeline.png"/>
                    <pic:cNvPicPr/>
                  </pic:nvPicPr>
                  <pic:blipFill>
                    <a:blip r:embed="rId12"/>
                    <a:stretch>
                      <a:fillRect/>
                    </a:stretch>
                  </pic:blipFill>
                  <pic:spPr>
                    <a:xfrm>
                      <a:off x="0" y="0"/>
                      <a:ext cx="4572000" cy="1736651"/>
                    </a:xfrm>
                    <a:prstGeom prst="rect"/>
                  </pic:spPr>
                </pic:pic>
              </a:graphicData>
            </a:graphic>
          </wp:inline>
        </w:drawing>
      </w:r>
    </w:p>
    <w:p>
      <w:pPr>
        <w:jc w:val="center"/>
        <w:spacing w:before="30" w:after="120" w:line="276" w:lineRule="auto"/>
      </w:pPr>
      <w:r>
        <w:rPr>
          <w:rFonts w:ascii="Calibri" w:hAnsi="Calibri"/>
          <w:i/>
          <w:color w:val="64748B"/>
          <w:sz w:val="18"/>
        </w:rPr>
        <w:t>Figure 4: Data Processing Pipeline</w:t>
      </w:r>
    </w:p>
    <w:p>
      <w:pPr>
        <w:pStyle w:val="Heading2"/>
        <w:spacing w:before="280" w:after="160" w:line="276" w:lineRule="auto"/>
      </w:pPr>
      <w:r>
        <w:rPr>
          <w:rFonts w:ascii="Calibri" w:hAnsi="Calibri"/>
          <w:color w:val="3D5A80"/>
        </w:rPr>
        <w:t>3.2 Dataset Variants</w:t>
      </w:r>
    </w:p>
    <w:p>
      <w:pPr>
        <w:spacing w:before="0" w:after="120" w:line="276" w:lineRule="auto"/>
      </w:pPr>
      <w:r>
        <w:rPr>
          <w:rFonts w:ascii="Calibri" w:hAnsi="Calibri"/>
          <w:color w:val="2D3748"/>
          <w:sz w:val="21"/>
        </w:rPr>
        <w:t>Different lessons use different dataset configurations to isolate experimental variables: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Variant</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Filter</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Movie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Game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Overlap %</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Used in</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Raw Mix</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1,000,000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45,933</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11,706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L1–L2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 k-core</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Overlap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19,880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movies≥5, games≥1</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Src-Rich</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39,534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L4,L7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movies≥10, games≥1</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Sharp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10,311</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99.8%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L5</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pop≥10</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 Start</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12,654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User split 80/20</w:t>
            </w:r>
          </w:p>
        </w:tc>
      </w:tr>
    </w:tbl>
    <w:p>
      <w:pPr>
        <w:pStyle w:val="Heading2"/>
        <w:spacing w:before="280" w:after="160" w:line="276" w:lineRule="auto"/>
      </w:pPr>
      <w:r>
        <w:rPr>
          <w:rFonts w:ascii="Calibri" w:hAnsi="Calibri"/>
          <w:color w:val="3D5A80"/>
        </w:rPr>
        <w:t>3.3 Data Splitting Protocol</w:t>
      </w:r>
    </w:p>
    <w:p>
      <w:pPr>
        <w:spacing w:before="0" w:after="120" w:line="276" w:lineRule="auto"/>
      </w:pPr>
      <w:r>
        <w:rPr>
          <w:rFonts w:ascii="Calibri" w:hAnsi="Calibri"/>
          <w:color w:val="2D3748"/>
          <w:sz w:val="21"/>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 For Lesson 6 (cold-start), we use a user-split protocol: 80% of users train with their full game history, while 20% of users have their game history withheld entirely, testing whether their movie history alone can generate useful game recommendations.</w:t>
      </w:r>
    </w:p>
    <w:p>
      <w:pPr>
        <w:pStyle w:val="Heading1"/>
        <w:pBdr>
          <w:bottom w:val="single" w:sz="8" w:space="4" w:color="2E7D8C"/>
        </w:pBdr>
        <w:spacing w:before="360" w:after="200" w:line="276" w:lineRule="auto"/>
      </w:pPr>
      <w:r>
        <w:rPr>
          <w:rFonts w:ascii="Calibri" w:hAnsi="Calibri"/>
          <w:color w:val="1B2A4A"/>
        </w:rPr>
        <w:t>4. Methodology</w:t>
      </w:r>
    </w:p>
    <w:p>
      <w:pPr>
        <w:spacing w:before="0" w:after="120" w:line="276" w:lineRule="auto"/>
      </w:pPr>
      <w:r>
        <w:rPr>
          <w:rFonts w:ascii="Calibri" w:hAnsi="Calibri"/>
          <w:color w:val="2D3748"/>
          <w:sz w:val="21"/>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pPr>
        <w:spacing w:before="0" w:after="120" w:line="276" w:lineRule="auto"/>
      </w:pPr>
      <w:r>
        <w:rPr>
          <w:rFonts w:ascii="Calibri" w:hAnsi="Calibri"/>
          <w:b/>
          <w:color w:val="1B2A4A"/>
          <w:sz w:val="21"/>
        </w:rPr>
        <w:t xml:space="preserve">Meet Maya. </w:t>
      </w:r>
      <w:r>
        <w:rPr>
          <w:rFonts w:ascii="Calibri" w:hAnsi="Calibri"/>
          <w:color w:val="2D3748"/>
          <w:sz w:val="21"/>
        </w:rPr>
        <w:t>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pPr>
        <w:pStyle w:val="Heading2"/>
        <w:spacing w:before="280" w:after="160" w:line="276" w:lineRule="auto"/>
      </w:pPr>
      <w:r>
        <w:rPr>
          <w:rFonts w:ascii="Calibri" w:hAnsi="Calibri"/>
          <w:color w:val="3D5A80"/>
        </w:rPr>
        <w:t>4.1 Evaluation Protocol</w:t>
      </w:r>
    </w:p>
    <w:p>
      <w:pPr>
        <w:spacing w:before="0" w:after="120" w:line="276" w:lineRule="auto"/>
      </w:pPr>
      <w:r>
        <w:rPr>
          <w:rFonts w:ascii="Calibri" w:hAnsi="Calibri"/>
          <w:color w:val="2D3748"/>
          <w:sz w:val="21"/>
        </w:rPr>
        <w:t>Before explaining the models, we describe how we measure their quality. Imagine a teacher giving a student an exam with one correct answer: Evaluation protocol defines how hard that exam is.</w:t>
      </w:r>
    </w:p>
    <w:p>
      <w:pPr>
        <w:spacing w:before="0" w:after="120" w:line="276" w:lineRule="auto"/>
      </w:pPr>
      <w:r>
        <w:rPr>
          <w:rFonts w:ascii="Calibri" w:hAnsi="Calibri"/>
          <w:color w:val="2D3748"/>
          <w:sz w:val="21"/>
        </w:rPr>
        <w:t>We use two complementary protocols. In full-rank evaluation, the model must pick the correct answer from the entire catalog of ~9,000 items — like finding a specific book in a large library. In sampled evaluation, the model picks from just 100 items (1 correct + 99 random distractors) — like a multiple-choice exam. Both protocols report metrics at K=10.</w:t>
      </w:r>
    </w:p>
    <w:p>
      <w:pPr>
        <w:jc w:val="center"/>
      </w:pPr>
      <w:r>
        <w:drawing>
          <wp:inline xmlns:a="http://schemas.openxmlformats.org/drawingml/2006/main" xmlns:pic="http://schemas.openxmlformats.org/drawingml/2006/picture">
            <wp:extent cx="5029200" cy="2690037"/>
            <wp:docPr id="5" name="Picture 5"/>
            <wp:cNvGraphicFramePr>
              <a:graphicFrameLocks noChangeAspect="1"/>
            </wp:cNvGraphicFramePr>
            <a:graphic>
              <a:graphicData uri="http://schemas.openxmlformats.org/drawingml/2006/picture">
                <pic:pic>
                  <pic:nvPicPr>
                    <pic:cNvPr id="0" name="eval_protocol.png"/>
                    <pic:cNvPicPr/>
                  </pic:nvPicPr>
                  <pic:blipFill>
                    <a:blip r:embed="rId13"/>
                    <a:stretch>
                      <a:fillRect/>
                    </a:stretch>
                  </pic:blipFill>
                  <pic:spPr>
                    <a:xfrm>
                      <a:off x="0" y="0"/>
                      <a:ext cx="5029200" cy="2690037"/>
                    </a:xfrm>
                    <a:prstGeom prst="rect"/>
                  </pic:spPr>
                </pic:pic>
              </a:graphicData>
            </a:graphic>
          </wp:inline>
        </w:drawing>
      </w:r>
    </w:p>
    <w:p>
      <w:pPr>
        <w:jc w:val="center"/>
        <w:spacing w:before="30" w:after="120" w:line="276" w:lineRule="auto"/>
      </w:pPr>
      <w:r>
        <w:rPr>
          <w:rFonts w:ascii="Calibri" w:hAnsi="Calibri"/>
          <w:i/>
          <w:color w:val="64748B"/>
          <w:sz w:val="18"/>
        </w:rPr>
        <w:t>Figure 5: Full-Rank vs Sampled Evaluation Protocol</w:t>
      </w:r>
    </w:p>
    <w:p>
      <w:pPr>
        <w:spacing w:before="0" w:after="120" w:line="276" w:lineRule="auto"/>
      </w:pPr>
      <w:r>
        <w:rPr>
          <w:rFonts w:ascii="Calibri" w:hAnsi="Calibri"/>
          <w:color w:val="2D3748"/>
          <w:sz w:val="21"/>
        </w:rPr>
        <w:t>Recall@10 asks: did the correct item appear anywhere in the top 10? NDCG@10 goes further: was it ranked first (best), third (okay), or tenth (barely made it)? Higher positions earn more credit. Sampled metrics (HR@10, NDCG@10) are systematically higher than full-rank metrics because the task is much easier — choosing from 100 items vs 9,000+.</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Single-Domain Models</w:t>
            </w:r>
          </w:p>
          <w:p>
            <w:r>
              <w:rPr>
                <w:rFonts w:ascii="Calibri" w:hAnsi="Calibri"/>
                <w:color w:val="2D3748"/>
                <w:sz w:val="19"/>
              </w:rPr>
              <w:t>The following three models are trained using game rating data only. They have no access to movie preferences. Think of them as specialists: they only know about games and recommend games based on what similar gamers have played.</w:t>
            </w:r>
          </w:p>
        </w:tc>
      </w:tr>
    </w:tbl>
    <w:p>
      <w:pPr>
        <w:pStyle w:val="Heading2"/>
        <w:spacing w:before="280" w:after="160" w:line="276" w:lineRule="auto"/>
      </w:pPr>
      <w:r>
        <w:rPr>
          <w:rFonts w:ascii="Calibri" w:hAnsi="Calibri"/>
          <w:color w:val="3D5A80"/>
        </w:rPr>
        <w:t>4.2 MF-BPR: Matrix Factorization with Bayesian Personalized Ranking</w:t>
      </w:r>
    </w:p>
    <w:p>
      <w:pPr>
        <w:spacing w:before="0" w:after="120" w:line="276" w:lineRule="auto"/>
      </w:pPr>
      <w:r>
        <w:rPr>
          <w:rFonts w:ascii="Calibri" w:hAnsi="Calibri"/>
          <w:color w:val="2D3748"/>
          <w:sz w:val="21"/>
        </w:rPr>
        <w:t>Analogy — The Notebook Method. 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p>
      <w:pPr>
        <w:spacing w:before="0" w:after="120" w:line="276" w:lineRule="auto"/>
      </w:pPr>
      <w:r>
        <w:rPr>
          <w:rFonts w:ascii="Calibri" w:hAnsi="Calibri"/>
          <w:b/>
          <w:color w:val="1B2A4A"/>
          <w:sz w:val="21"/>
        </w:rPr>
        <w:t xml:space="preserve">Training. </w:t>
      </w:r>
      <w:r>
        <w:rPr>
          <w:rFonts w:ascii="Calibri" w:hAnsi="Calibri"/>
          <w:color w:val="2D3748"/>
          <w:sz w:val="21"/>
        </w:rPr>
        <w:t>Training begins by assigning every user and every item a random vector of 64 numbers (drawn from a small Gaussian distribution). These vectors are the model's only learnable parameters. The model then iterates over 60 epochs, where each epoch samples millions of training triplets. A triplet consists of (user, positive item, negative item): the positive item is one the user actually interacted with (rated &gt;= 4 stars), and the negative item is randomly sampled from items the user has never rated. For each triplet, the model computes two dot-product scores — one between the user vector and the positive item vector, and one between the user vector and the negative item vector. The BPR loss function then pushes the positive score to be higher than the negative score.</w:t>
      </w:r>
    </w:p>
    <w:p>
      <w:pPr>
        <w:jc w:val="center"/>
      </w:pPr>
      <w:r>
        <w:drawing>
          <wp:inline xmlns:a="http://schemas.openxmlformats.org/drawingml/2006/main" xmlns:pic="http://schemas.openxmlformats.org/drawingml/2006/picture">
            <wp:extent cx="4572000" cy="2684477"/>
            <wp:docPr id="6" name="Picture 6"/>
            <wp:cNvGraphicFramePr>
              <a:graphicFrameLocks noChangeAspect="1"/>
            </wp:cNvGraphicFramePr>
            <a:graphic>
              <a:graphicData uri="http://schemas.openxmlformats.org/drawingml/2006/picture">
                <pic:pic>
                  <pic:nvPicPr>
                    <pic:cNvPr id="0" name="mfbpr_training.png"/>
                    <pic:cNvPicPr/>
                  </pic:nvPicPr>
                  <pic:blipFill>
                    <a:blip r:embed="rId14"/>
                    <a:stretch>
                      <a:fillRect/>
                    </a:stretch>
                  </pic:blipFill>
                  <pic:spPr>
                    <a:xfrm>
                      <a:off x="0" y="0"/>
                      <a:ext cx="4572000" cy="2684477"/>
                    </a:xfrm>
                    <a:prstGeom prst="rect"/>
                  </pic:spPr>
                </pic:pic>
              </a:graphicData>
            </a:graphic>
          </wp:inline>
        </w:drawing>
      </w:r>
    </w:p>
    <w:p>
      <w:pPr>
        <w:jc w:val="center"/>
        <w:spacing w:before="30" w:after="120" w:line="276" w:lineRule="auto"/>
      </w:pPr>
      <w:r>
        <w:rPr>
          <w:rFonts w:ascii="Calibri" w:hAnsi="Calibri"/>
          <w:i/>
          <w:color w:val="64748B"/>
          <w:sz w:val="18"/>
        </w:rPr>
        <w:t>Figure 6: MF-BPR training process — user and item vectors learn from triplet sampling with BPR loss</w:t>
      </w:r>
    </w:p>
    <w:p>
      <w:pPr>
        <w:spacing w:before="0" w:after="120" w:line="276" w:lineRule="auto"/>
      </w:pPr>
      <w:r>
        <w:rPr>
          <w:rFonts w:ascii="Calibri" w:hAnsi="Calibri"/>
          <w:b/>
          <w:color w:val="1B2A4A"/>
          <w:sz w:val="21"/>
        </w:rPr>
        <w:t xml:space="preserve">BPR Loss. </w:t>
      </w:r>
      <w:r>
        <w:rPr>
          <w:rFonts w:ascii="Calibri" w:hAnsi="Calibri"/>
          <w:color w:val="2D3748"/>
          <w:sz w:val="21"/>
        </w:rPr>
        <w:t>The Bayesian Personalized Ranking loss is elegant in its simplicity. For a user u, a positive item i+ that the user liked, and a negative item i⁻ sampled at random, the loss is: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7" name="Picture 7"/>
                  <wp:cNvGraphicFramePr>
                    <a:graphicFrameLocks noChangeAspect="1"/>
                  </wp:cNvGraphicFramePr>
                  <a:graphic>
                    <a:graphicData uri="http://schemas.openxmlformats.org/drawingml/2006/picture">
                      <pic:pic>
                        <pic:nvPicPr>
                          <pic:cNvPr id="0" name="formula_bpr.png"/>
                          <pic:cNvPicPr/>
                        </pic:nvPicPr>
                        <pic:blipFill>
                          <a:blip r:embed="rId15"/>
                          <a:stretch>
                            <a:fillRect/>
                          </a:stretch>
                        </pic:blipFill>
                        <pic:spPr>
                          <a:xfrm>
                            <a:off x="0" y="0"/>
                            <a:ext cx="5303520" cy="1278039"/>
                          </a:xfrm>
                          <a:prstGeom prst="rect"/>
                        </pic:spPr>
                      </pic:pic>
                    </a:graphicData>
                  </a:graphic>
                </wp:inline>
              </w:drawing>
            </w:r>
          </w:p>
          <w:p>
            <w:r>
              <w:rPr>
                <w:rFonts w:ascii="Calibri" w:hAnsi="Calibri"/>
                <w:color w:val="2D3748"/>
                <w:sz w:val="19"/>
              </w:rPr>
              <w:t>Where σ is the sigmoid function that squashes the score difference into [0,1]. When the positive score is much higher than the negative score, the sigmoid output approaches 1 and the loss approaches 0. When the scores are close or inverted, the loss is large, and gradient descent updates the vectors to increase the gap. The regularization term λ prevents vectors from growing too large. Optimization uses plain SGD with learning rate 0.05 (high because there is no momentum or adaptive scaling).</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After training completes, the model artifacts are the learned user embedding matrix U (shape: n_users × 64) and item embedding matrix V (shape: n_items × 64), saved as .npy files. To generate recommendations for a user u, we compute the dot product of u's row in U with every row in V, producing a score for each item. Items are ranked by score in descending order, and the top-K items (excluding already-rated items) become the recommendations. This is a single matrix-vector multiplication, making inference extremely fast.</w:t>
      </w:r>
    </w:p>
    <w:p>
      <w:pPr>
        <w:jc w:val="center"/>
      </w:pPr>
      <w:r>
        <w:drawing>
          <wp:inline xmlns:a="http://schemas.openxmlformats.org/drawingml/2006/main" xmlns:pic="http://schemas.openxmlformats.org/drawingml/2006/picture">
            <wp:extent cx="4572000" cy="2445488"/>
            <wp:docPr id="8" name="Picture 8"/>
            <wp:cNvGraphicFramePr>
              <a:graphicFrameLocks noChangeAspect="1"/>
            </wp:cNvGraphicFramePr>
            <a:graphic>
              <a:graphicData uri="http://schemas.openxmlformats.org/drawingml/2006/picture">
                <pic:pic>
                  <pic:nvPicPr>
                    <pic:cNvPr id="0" name="mfbpr_inference.png"/>
                    <pic:cNvPicPr/>
                  </pic:nvPicPr>
                  <pic:blipFill>
                    <a:blip r:embed="rId16"/>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7: MF-BPR inference — dot product between user and item vectors produces ranking scores</w:t>
      </w:r>
    </w:p>
    <w:p>
      <w:pPr>
        <w:spacing w:before="0" w:after="120" w:line="276" w:lineRule="auto"/>
      </w:pPr>
      <w:r>
        <w:rPr>
          <w:rFonts w:ascii="Calibri" w:hAnsi="Calibri"/>
          <w:color w:val="2D3748"/>
          <w:sz w:val="21"/>
        </w:rPr>
        <w:t>Strengths: Simple, fast to train (~2 minutes), well-understood, and provides a strong baseline. Weaknesses: Each user and item is treated independently — the model can't leverage the fact that "users who like Game A also tend to like Game B" unless it discovers this pattern through the vectors alone. It also cannot handle cold-start users (no vector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user/item = 64 numbers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High because plain SGD (no Adam)</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Converges quickly on sparse data</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NumPy SGD</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Manual gradient descent</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penalty on embedding norms</w:t>
            </w:r>
          </w:p>
        </w:tc>
      </w:tr>
    </w:tbl>
    <w:p>
      <w:pPr>
        <w:pStyle w:val="Heading2"/>
        <w:spacing w:before="280" w:after="160" w:line="276" w:lineRule="auto"/>
      </w:pPr>
      <w:r>
        <w:rPr>
          <w:rFonts w:ascii="Calibri" w:hAnsi="Calibri"/>
          <w:color w:val="3D5A80"/>
        </w:rPr>
        <w:t>4.3 NCF (NeuMF): Neural Collaborative Filtering</w:t>
      </w:r>
    </w:p>
    <w:p>
      <w:pPr>
        <w:spacing w:before="0" w:after="120" w:line="276" w:lineRule="auto"/>
      </w:pPr>
      <w:r>
        <w:rPr>
          <w:rFonts w:ascii="Calibri" w:hAnsi="Calibri"/>
          <w:color w:val="2D3748"/>
          <w:sz w:val="21"/>
        </w:rPr>
        <w:t>Analogy — Maya Hires an Apprentice. 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nonlinear 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p>
      <w:pPr>
        <w:spacing w:before="0" w:after="120" w:line="276" w:lineRule="auto"/>
      </w:pPr>
      <w:r>
        <w:rPr>
          <w:rFonts w:ascii="Calibri" w:hAnsi="Calibri"/>
          <w:b/>
          <w:color w:val="1B2A4A"/>
          <w:sz w:val="21"/>
        </w:rPr>
        <w:t xml:space="preserve">Architecture. </w:t>
      </w:r>
      <w:r>
        <w:rPr>
          <w:rFonts w:ascii="Calibri" w:hAnsi="Calibri"/>
          <w:color w:val="2D3748"/>
          <w:sz w:val="21"/>
        </w:rPr>
        <w:t>NCF has two parallel branches that process user-item pairs differently, then merges their outputs for a final prediction. Each branch maintains its own separate set of user and item embeddings (64 dimensions each), so the model has 4 embedding tables total.</w:t>
      </w:r>
    </w:p>
    <w:p>
      <w:pPr>
        <w:spacing w:before="0" w:after="120" w:line="276" w:lineRule="auto"/>
      </w:pPr>
      <w:r>
        <w:rPr>
          <w:rFonts w:ascii="Calibri" w:hAnsi="Calibri"/>
          <w:color w:val="2D3748"/>
          <w:sz w:val="21"/>
        </w:rPr>
        <w:t>The GMF (Generalized Matrix Factorization) branch performs element-wise multiplication of user and item vectors. Given user embedding u_gmf and item embedding i_gmf (both 64-dim), the output is u_gmf ⊙ i_gmf — a 64-dimensional vector where each element is the product of the corresponding user and item values. This captures linear feature interactions, similar to standard matrix factorization.</w:t>
      </w:r>
    </w:p>
    <w:p>
      <w:pPr>
        <w:jc w:val="center"/>
      </w:pPr>
      <w:r>
        <w:drawing>
          <wp:inline xmlns:a="http://schemas.openxmlformats.org/drawingml/2006/main" xmlns:pic="http://schemas.openxmlformats.org/drawingml/2006/picture">
            <wp:extent cx="4572000" cy="2474752"/>
            <wp:docPr id="9" name="Picture 9"/>
            <wp:cNvGraphicFramePr>
              <a:graphicFrameLocks noChangeAspect="1"/>
            </wp:cNvGraphicFramePr>
            <a:graphic>
              <a:graphicData uri="http://schemas.openxmlformats.org/drawingml/2006/picture">
                <pic:pic>
                  <pic:nvPicPr>
                    <pic:cNvPr id="0" name="ncf_gmf.png"/>
                    <pic:cNvPicPr/>
                  </pic:nvPicPr>
                  <pic:blipFill>
                    <a:blip r:embed="rId17"/>
                    <a:stretch>
                      <a:fillRect/>
                    </a:stretch>
                  </pic:blipFill>
                  <pic:spPr>
                    <a:xfrm>
                      <a:off x="0" y="0"/>
                      <a:ext cx="4572000" cy="2474752"/>
                    </a:xfrm>
                    <a:prstGeom prst="rect"/>
                  </pic:spPr>
                </pic:pic>
              </a:graphicData>
            </a:graphic>
          </wp:inline>
        </w:drawing>
      </w:r>
    </w:p>
    <w:p>
      <w:pPr>
        <w:jc w:val="center"/>
        <w:spacing w:before="30" w:after="120" w:line="276" w:lineRule="auto"/>
      </w:pPr>
      <w:r>
        <w:rPr>
          <w:rFonts w:ascii="Calibri" w:hAnsi="Calibri"/>
          <w:i/>
          <w:color w:val="64748B"/>
          <w:sz w:val="18"/>
        </w:rPr>
        <w:t>Figure 8: NCF — GMF branch: element-wise multiplication captures linear feature interactions</w:t>
      </w:r>
    </w:p>
    <w:p>
      <w:pPr>
        <w:spacing w:before="0" w:after="120" w:line="276" w:lineRule="auto"/>
      </w:pPr>
      <w:r>
        <w:rPr>
          <w:rFonts w:ascii="Calibri" w:hAnsi="Calibri"/>
          <w:color w:val="2D3748"/>
          <w:sz w:val="21"/>
        </w:rPr>
        <w:t>The MLP (Multi-Layer Perceptron) branch takes a different approach. It concatenates user and item embeddings into a single 128-dimensional input vector, then passes it through three hidden layers (128 → 64 → 32 neurons) with ReLU activations. Each layer applies a linear transformation followed by a non-linearity: output = ReLU(W · input + b). This allows the MLP to learn complex, non-linear patterns in user-item interactions that simple dot products cannot capture.</w:t>
      </w:r>
    </w:p>
    <w:p>
      <w:pPr>
        <w:jc w:val="center"/>
      </w:pPr>
      <w:r>
        <w:drawing>
          <wp:inline xmlns:a="http://schemas.openxmlformats.org/drawingml/2006/main" xmlns:pic="http://schemas.openxmlformats.org/drawingml/2006/picture">
            <wp:extent cx="4572000" cy="2091070"/>
            <wp:docPr id="10" name="Picture 10"/>
            <wp:cNvGraphicFramePr>
              <a:graphicFrameLocks noChangeAspect="1"/>
            </wp:cNvGraphicFramePr>
            <a:graphic>
              <a:graphicData uri="http://schemas.openxmlformats.org/drawingml/2006/picture">
                <pic:pic>
                  <pic:nvPicPr>
                    <pic:cNvPr id="0" name="ncf_mlp.png"/>
                    <pic:cNvPicPr/>
                  </pic:nvPicPr>
                  <pic:blipFill>
                    <a:blip r:embed="rId18"/>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9: NCF — MLP branch: neural network layers learn non-linear user-item patterns</w:t>
      </w:r>
    </w:p>
    <w:p>
      <w:pPr>
        <w:spacing w:before="0" w:after="120" w:line="276" w:lineRule="auto"/>
      </w:pPr>
      <w:r>
        <w:rPr>
          <w:rFonts w:ascii="Calibri" w:hAnsi="Calibri"/>
          <w:b/>
          <w:color w:val="1B2A4A"/>
          <w:sz w:val="21"/>
        </w:rPr>
        <w:t xml:space="preserve">Combined Architecture. </w:t>
      </w:r>
      <w:r>
        <w:rPr>
          <w:rFonts w:ascii="Calibri" w:hAnsi="Calibri"/>
          <w:color w:val="2D3748"/>
          <w:sz w:val="21"/>
        </w:rPr>
        <w:t>The final NeuMF (Neural Matrix Factorization) model concatenates the GMF output (64-dim) and MLP output (32-dim) into a 96-dimensional vector, then passes it through a single output layer with sigmoid activation to produce a score between 0 and 1.</w:t>
      </w:r>
    </w:p>
    <w:p>
      <w:pPr>
        <w:jc w:val="center"/>
      </w:pPr>
      <w:r>
        <w:drawing>
          <wp:inline xmlns:a="http://schemas.openxmlformats.org/drawingml/2006/main" xmlns:pic="http://schemas.openxmlformats.org/drawingml/2006/picture">
            <wp:extent cx="4572000" cy="3154326"/>
            <wp:docPr id="11" name="Picture 11"/>
            <wp:cNvGraphicFramePr>
              <a:graphicFrameLocks noChangeAspect="1"/>
            </wp:cNvGraphicFramePr>
            <a:graphic>
              <a:graphicData uri="http://schemas.openxmlformats.org/drawingml/2006/picture">
                <pic:pic>
                  <pic:nvPicPr>
                    <pic:cNvPr id="0" name="ncf_combined.png"/>
                    <pic:cNvPicPr/>
                  </pic:nvPicPr>
                  <pic:blipFill>
                    <a:blip r:embed="rId19"/>
                    <a:stretch>
                      <a:fillRect/>
                    </a:stretch>
                  </pic:blipFill>
                  <pic:spPr>
                    <a:xfrm>
                      <a:off x="0" y="0"/>
                      <a:ext cx="4572000" cy="3154326"/>
                    </a:xfrm>
                    <a:prstGeom prst="rect"/>
                  </pic:spPr>
                </pic:pic>
              </a:graphicData>
            </a:graphic>
          </wp:inline>
        </w:drawing>
      </w:r>
    </w:p>
    <w:p>
      <w:pPr>
        <w:jc w:val="center"/>
        <w:spacing w:before="30" w:after="120" w:line="276" w:lineRule="auto"/>
      </w:pPr>
      <w:r>
        <w:rPr>
          <w:rFonts w:ascii="Calibri" w:hAnsi="Calibri"/>
          <w:i/>
          <w:color w:val="64748B"/>
          <w:sz w:val="18"/>
        </w:rPr>
        <w:t>Figure 10: NCF — combined NeuMF architecture merging both branches into a final score</w:t>
      </w:r>
    </w:p>
    <w:p>
      <w:pPr>
        <w:spacing w:before="0" w:after="120" w:line="276" w:lineRule="auto"/>
      </w:pPr>
      <w:r>
        <w:rPr>
          <w:rFonts w:ascii="Calibri" w:hAnsi="Calibri"/>
          <w:b/>
          <w:color w:val="1B2A4A"/>
          <w:sz w:val="21"/>
        </w:rPr>
        <w:t xml:space="preserve">Training. </w:t>
      </w:r>
      <w:r>
        <w:rPr>
          <w:rFonts w:ascii="Calibri" w:hAnsi="Calibri"/>
          <w:color w:val="2D3748"/>
          <w:sz w:val="21"/>
        </w:rPr>
        <w:t>NCF trains using Binary Cross-Entropy (BCE) loss on implicit feedback. Positive examples are user-item pairs where the user interacted with the item; negative examples are randomly sampled non-interactions (4 negatives per positive). For each batch of 256 user-item pairs, the model computes scores through both branches, merges them, and compares the predicted scores against the binary labels (1 for interaction, 0 for no interaction). The Adam optimizer adjusts all parameters (embeddings + MLP weights) with learning rate 0.001 over 150 epochs.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2" name="Picture 12"/>
                  <wp:cNvGraphicFramePr>
                    <a:graphicFrameLocks noChangeAspect="1"/>
                  </wp:cNvGraphicFramePr>
                  <a:graphic>
                    <a:graphicData uri="http://schemas.openxmlformats.org/drawingml/2006/picture">
                      <pic:pic>
                        <pic:nvPicPr>
                          <pic:cNvPr id="0" name="formula_ncf.png"/>
                          <pic:cNvPicPr/>
                        </pic:nvPicPr>
                        <pic:blipFill>
                          <a:blip r:embed="rId20"/>
                          <a:stretch>
                            <a:fillRect/>
                          </a:stretch>
                        </pic:blipFill>
                        <pic:spPr>
                          <a:xfrm>
                            <a:off x="0" y="0"/>
                            <a:ext cx="5303520" cy="1616343"/>
                          </a:xfrm>
                          <a:prstGeom prst="rect"/>
                        </pic:spPr>
                      </pic:pic>
                    </a:graphicData>
                  </a:graphic>
                </wp:inline>
              </w:drawing>
            </w:r>
          </w:p>
          <w:p>
            <w:r>
              <w:rPr>
                <w:rFonts w:ascii="Calibri" w:hAnsi="Calibri"/>
                <w:color w:val="2D3748"/>
                <w:sz w:val="19"/>
              </w:rPr>
              <w:t>Where y=1 for observed interactions and y=0 for sampled negatives. The BCE loss penalizes confident wrong predictions heavily: if the model predicts 0.9 for a negative item, the loss contribution is −log(0.1) = 2.3, a strong gradient signal. This drives the model to clearly separate positives from negatives.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include 4 embedding matrices (GMF user/item, MLP user/item) and the neural network weights (3 MLP layers + output layer). At inference, for a given user, the model must run a forward pass for every candidate item — unlike MF-BPR which uses a single matrix multiply. This makes NCF slower at inference but more expressive. In practice, we batch all items and run a single forward pass through PyTorch.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Separate embeddings for GMF and MLP</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MLP layers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[128, 64, 32]</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Three hidden layers with decreasing width</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Negative samples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 per positive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Implicit feedback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Longer training needed (was 50, improved +30%)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(lr=0.001)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Adaptive learning rate per parameter</w:t>
            </w:r>
          </w:p>
        </w:tc>
      </w:tr>
    </w:tbl>
    <w:p>
      <w:pPr>
        <w:pStyle w:val="Heading2"/>
        <w:spacing w:before="280" w:after="160" w:line="276" w:lineRule="auto"/>
      </w:pPr>
      <w:r>
        <w:rPr>
          <w:rFonts w:ascii="Calibri" w:hAnsi="Calibri"/>
          <w:color w:val="3D5A80"/>
        </w:rPr>
        <w:t>4.4 LightGCN: Graph Convolution for Recommendations</w:t>
      </w:r>
    </w:p>
    <w:p>
      <w:pPr>
        <w:spacing w:before="0" w:after="120" w:line="276" w:lineRule="auto"/>
      </w:pPr>
      <w:r>
        <w:rPr>
          <w:rFonts w:ascii="Calibri" w:hAnsi="Calibri"/>
          <w:color w:val="2D3748"/>
          <w:sz w:val="21"/>
        </w:rPr>
        <w:t>Analogy — The Shop Gossip Network. 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p>
      <w:pPr>
        <w:spacing w:before="0" w:after="120" w:line="276" w:lineRule="auto"/>
      </w:pPr>
      <w:r>
        <w:rPr>
          <w:rFonts w:ascii="Calibri" w:hAnsi="Calibri"/>
          <w:b/>
          <w:color w:val="1B2A4A"/>
          <w:sz w:val="21"/>
        </w:rPr>
        <w:t xml:space="preserve">Graph Propagation. </w:t>
      </w:r>
      <w:r>
        <w:rPr>
          <w:rFonts w:ascii="Calibri" w:hAnsi="Calibri"/>
          <w:color w:val="2D3748"/>
          <w:sz w:val="21"/>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pPr>
        <w:jc w:val="center"/>
      </w:pPr>
      <w:r>
        <w:drawing>
          <wp:inline xmlns:a="http://schemas.openxmlformats.org/drawingml/2006/main" xmlns:pic="http://schemas.openxmlformats.org/drawingml/2006/picture">
            <wp:extent cx="4572000" cy="2598475"/>
            <wp:docPr id="13" name="Picture 13"/>
            <wp:cNvGraphicFramePr>
              <a:graphicFrameLocks noChangeAspect="1"/>
            </wp:cNvGraphicFramePr>
            <a:graphic>
              <a:graphicData uri="http://schemas.openxmlformats.org/drawingml/2006/picture">
                <pic:pic>
                  <pic:nvPicPr>
                    <pic:cNvPr id="0" name="lightgcn_graph.png"/>
                    <pic:cNvPicPr/>
                  </pic:nvPicPr>
                  <pic:blipFill>
                    <a:blip r:embed="rId2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11: LightGCN graph propagation — information flows through multi-hop user-item connections</w:t>
      </w:r>
    </w:p>
    <w:p>
      <w:pPr>
        <w:spacing w:before="0" w:after="120" w:line="276" w:lineRule="auto"/>
      </w:pPr>
      <w:r>
        <w:rPr>
          <w:rFonts w:ascii="Calibri" w:hAnsi="Calibri"/>
          <w:color w:val="2D3748"/>
          <w:sz w:val="21"/>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4" name="Picture 14"/>
                  <wp:cNvGraphicFramePr>
                    <a:graphicFrameLocks noChangeAspect="1"/>
                  </wp:cNvGraphicFramePr>
                  <a:graphic>
                    <a:graphicData uri="http://schemas.openxmlformats.org/drawingml/2006/picture">
                      <pic:pic>
                        <pic:nvPicPr>
                          <pic:cNvPr id="0" name="formula_lightgcn.png"/>
                          <pic:cNvPicPr/>
                        </pic:nvPicPr>
                        <pic:blipFill>
                          <a:blip r:embed="rId22"/>
                          <a:stretch>
                            <a:fillRect/>
                          </a:stretch>
                        </pic:blipFill>
                        <pic:spPr>
                          <a:xfrm>
                            <a:off x="0" y="0"/>
                            <a:ext cx="5303520" cy="1616343"/>
                          </a:xfrm>
                          <a:prstGeom prst="rect"/>
                        </pic:spPr>
                      </pic:pic>
                    </a:graphicData>
                  </a:graphic>
                </wp:inline>
              </w:drawing>
            </w:r>
          </w:p>
          <w:p>
            <w:r>
              <w:rPr>
                <w:rFonts w:ascii="Calibri" w:hAnsi="Calibri"/>
                <w:color w:val="2D3748"/>
                <w:sz w:val="19"/>
              </w:rPr>
              <w:t>The normalization factor 1/√|N_u|√|N_i| (symmetric sqrt-degree normalization) ensures that popular items with many connections don’t overwhelm the signal from niche items. K=3 hops with 96-dimensional embeddings.</w:t>
            </w:r>
          </w:p>
        </w:tc>
      </w:tr>
    </w:tbl>
    <w:p>
      <w:pPr>
        <w:spacing w:before="0" w:after="120" w:line="276" w:lineRule="auto"/>
      </w:pPr>
      <w:r>
        <w:rPr>
          <w:rFonts w:ascii="Calibri" w:hAnsi="Calibri"/>
          <w:b/>
          <w:color w:val="1B2A4A"/>
          <w:sz w:val="21"/>
        </w:rPr>
        <w:t xml:space="preserve">Training. </w:t>
      </w:r>
      <w:r>
        <w:rPr>
          <w:rFonts w:ascii="Calibri" w:hAnsi="Calibri"/>
          <w:color w:val="2D3748"/>
          <w:sz w:val="21"/>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pPr>
        <w:jc w:val="center"/>
      </w:pPr>
      <w:r>
        <w:drawing>
          <wp:inline xmlns:a="http://schemas.openxmlformats.org/drawingml/2006/main" xmlns:pic="http://schemas.openxmlformats.org/drawingml/2006/picture">
            <wp:extent cx="4572000" cy="2445488"/>
            <wp:docPr id="15" name="Picture 15"/>
            <wp:cNvGraphicFramePr>
              <a:graphicFrameLocks noChangeAspect="1"/>
            </wp:cNvGraphicFramePr>
            <a:graphic>
              <a:graphicData uri="http://schemas.openxmlformats.org/drawingml/2006/picture">
                <pic:pic>
                  <pic:nvPicPr>
                    <pic:cNvPr id="0" name="lightgcn_training.png"/>
                    <pic:cNvPicPr/>
                  </pic:nvPicPr>
                  <pic:blipFill>
                    <a:blip r:embed="rId23"/>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12: LightGCN training loop — graph propagation followed by BPR loss optimization</w:t>
      </w:r>
    </w:p>
    <w:p>
      <w:pPr>
        <w:spacing w:before="0" w:after="120" w:line="276" w:lineRule="auto"/>
      </w:pPr>
      <w:r>
        <w:rPr>
          <w:rFonts w:ascii="Calibri" w:hAnsi="Calibri"/>
          <w:b/>
          <w:color w:val="1B2A4A"/>
          <w:sz w:val="21"/>
        </w:rPr>
        <w:t xml:space="preserve">Inference. </w:t>
      </w:r>
      <w:r>
        <w:rPr>
          <w:rFonts w:ascii="Calibri" w:hAnsi="Calibri"/>
          <w:color w:val="2D3748"/>
          <w:sz w:val="21"/>
        </w:rPr>
        <w:t>After training, we pre-compute the final embeddings for all users and items by running the full K-layer propagation once. The resulting matrices (n_users × 96 and n_items × 96) are saved as .npy files. Inference is identical to MF-BPR: a single dot product between the user's final embedding and all item embeddings, then rank by score. LightGCN consistently achieves the best single-domain performance, outperforming MF-BPR by 70% and NCF by 140% on full-rank Recall@10.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Larger than MF/NCF for richer graph signal</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GCN layers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3-hop neighborhood propagation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1e-4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weight decay on base embeddings only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size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2048</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 batches stabilize graph training</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Cross-Domain Models</w:t>
            </w:r>
          </w:p>
          <w:p>
            <w:r>
              <w:rPr>
                <w:rFonts w:ascii="Calibri" w:hAnsi="Calibri"/>
                <w:color w:val="2D3748"/>
                <w:sz w:val="19"/>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pPr>
        <w:pStyle w:val="Heading2"/>
        <w:spacing w:before="280" w:after="160" w:line="276" w:lineRule="auto"/>
      </w:pPr>
      <w:r>
        <w:rPr>
          <w:rFonts w:ascii="Calibri" w:hAnsi="Calibri"/>
          <w:color w:val="3D5A80"/>
        </w:rPr>
        <w:t>4.5 CMF: Collective Matrix Factorization</w:t>
      </w:r>
    </w:p>
    <w:p>
      <w:pPr>
        <w:spacing w:before="0" w:after="120" w:line="276" w:lineRule="auto"/>
      </w:pPr>
      <w:r>
        <w:rPr>
          <w:rFonts w:ascii="Calibri" w:hAnsi="Calibri"/>
          <w:color w:val="2D3748"/>
          <w:sz w:val="21"/>
        </w:rPr>
        <w:t>Analogy — One Shared Customer Card. 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p>
      <w:pPr>
        <w:spacing w:before="0" w:after="120" w:line="276" w:lineRule="auto"/>
      </w:pPr>
      <w:r>
        <w:rPr>
          <w:rFonts w:ascii="Calibri" w:hAnsi="Calibri"/>
          <w:b/>
          <w:color w:val="1B2A4A"/>
          <w:sz w:val="21"/>
        </w:rPr>
        <w:t xml:space="preserve">Training. </w:t>
      </w:r>
      <w:r>
        <w:rPr>
          <w:rFonts w:ascii="Calibri" w:hAnsi="Calibri"/>
          <w:color w:val="2D3748"/>
          <w:sz w:val="21"/>
        </w:rPr>
        <w:t>CMF maintains three embedding matrices: a shared user matrix U (n_users × 96), a movie item matrix V_movie (n_movies × 96), and a game item matrix V_game (n_games × 96). In each training epoch, the model alternates between movie and game batches. For a movie batch, it samples (user, positive_movie, negative_movie) triplets and computes BPR loss using U and V_movie. For a game batch, it samples (user, positive_game, negative_game) triplets and computes BPR loss using the same U and V_game. The crucial point is that the user embeddings U receive gradient updates from both domains, forcing them to encode preferences that work across movies and games.</w:t>
      </w:r>
    </w:p>
    <w:p>
      <w:pPr>
        <w:jc w:val="center"/>
      </w:pPr>
      <w:r>
        <w:drawing>
          <wp:inline xmlns:a="http://schemas.openxmlformats.org/drawingml/2006/main" xmlns:pic="http://schemas.openxmlformats.org/drawingml/2006/picture">
            <wp:extent cx="4572000" cy="2445488"/>
            <wp:docPr id="16" name="Picture 16"/>
            <wp:cNvGraphicFramePr>
              <a:graphicFrameLocks noChangeAspect="1"/>
            </wp:cNvGraphicFramePr>
            <a:graphic>
              <a:graphicData uri="http://schemas.openxmlformats.org/drawingml/2006/picture">
                <pic:pic>
                  <pic:nvPicPr>
                    <pic:cNvPr id="0" name="cmf_mechanism.png"/>
                    <pic:cNvPicPr/>
                  </pic:nvPicPr>
                  <pic:blipFill>
                    <a:blip r:embed="rId2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13: CMF mechanism — shared user embeddings trained jointly on movie and game interactions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17" name="Picture 17"/>
                  <wp:cNvGraphicFramePr>
                    <a:graphicFrameLocks noChangeAspect="1"/>
                  </wp:cNvGraphicFramePr>
                  <a:graphic>
                    <a:graphicData uri="http://schemas.openxmlformats.org/drawingml/2006/picture">
                      <pic:pic>
                        <pic:nvPicPr>
                          <pic:cNvPr id="0" name="formula_cmf.png"/>
                          <pic:cNvPicPr/>
                        </pic:nvPicPr>
                        <pic:blipFill>
                          <a:blip r:embed="rId25"/>
                          <a:stretch>
                            <a:fillRect/>
                          </a:stretch>
                        </pic:blipFill>
                        <pic:spPr>
                          <a:xfrm>
                            <a:off x="0" y="0"/>
                            <a:ext cx="5303520" cy="1278039"/>
                          </a:xfrm>
                          <a:prstGeom prst="rect"/>
                        </pic:spPr>
                      </pic:pic>
                    </a:graphicData>
                  </a:graphic>
                </wp:inline>
              </w:drawing>
            </w:r>
          </w:p>
          <w:p>
            <w:r>
              <w:rPr>
                <w:rFonts w:ascii="Calibri" w:hAnsi="Calibri"/>
                <w:color w:val="2D3748"/>
                <w:sz w:val="19"/>
              </w:rPr>
              <w:t>Where α=0.05 heavily weights the game domain (95% game, 5% movie). Each Lₚᴤ3 is the standard BPR loss over triplets in that domain. The shared user embedding U is updated by gradients from both losses, while Vₘₒᵥᵉᵉ and V☯ᵃᵐᵉ only receive gradients from their respective domains. Adam optimizer with lr=0.0005 over 60 epochs.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are U, V_movie, and V_game. For game recommendations, we compute score = U[user] · V_gameᵀ, identical to MF-BPR. The cross-domain transfer happens implicitly: because U was shaped by movie gradients too, it carries movie-derived preference signals into game scoring. For a cold-start game user who has movie history, their U vector already encodes useful information from movie training.</w:t>
      </w:r>
    </w:p>
    <w:p>
      <w:pPr>
        <w:spacing w:before="0" w:after="120" w:line="276" w:lineRule="auto"/>
      </w:pPr>
      <w:r>
        <w:rPr>
          <w:rFonts w:ascii="Calibri" w:hAnsi="Calibri"/>
          <w:color w:val="2D3748"/>
          <w:sz w:val="21"/>
        </w:rPr>
        <w:t>Limitations: CMF's "one profile fits all" approach is a blunt instrument. The shared embedding is a compromise that must be mediocre at both domains. In our experiments, CMF provides the weakest cross-domain transfer, especially at cold-start where the shared embedding has been shaped primarily by movie data (which constitutes 95% of interactions) and may encode movie-specific patterns that don't transfer to games.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across both domains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Movie weight (α)</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Focus on target domain (games)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training on both matrices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alternation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 Game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Alternates domain each batch</w:t>
            </w:r>
          </w:p>
        </w:tc>
      </w:tr>
    </w:tbl>
    <w:p>
      <w:pPr>
        <w:pStyle w:val="Heading2"/>
        <w:spacing w:before="280" w:after="160" w:line="276" w:lineRule="auto"/>
      </w:pPr>
      <w:r>
        <w:rPr>
          <w:rFonts w:ascii="Calibri" w:hAnsi="Calibri"/>
          <w:color w:val="3D5A80"/>
        </w:rPr>
        <w:t>4.6 EMCDR: Cross-Domain Embedding Mapping</w:t>
      </w:r>
    </w:p>
    <w:p>
      <w:pPr>
        <w:spacing w:before="0" w:after="120" w:line="276" w:lineRule="auto"/>
      </w:pPr>
      <w:r>
        <w:rPr>
          <w:rFonts w:ascii="Calibri" w:hAnsi="Calibri"/>
          <w:color w:val="2D3748"/>
          <w:sz w:val="21"/>
        </w:rPr>
        <w:t>Analogy — Maya Hires a Translator. CMF taught Maya that one shared card sacrifices too much specialisation. Her next idea is better: keep the two specialised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specialised card had to compromise. The weak spot is that Maya only hires one translator, and that one translator has to use the same rules for every single patron.</w:t>
      </w:r>
    </w:p>
    <w:p>
      <w:pPr>
        <w:spacing w:before="0" w:after="120" w:line="276" w:lineRule="auto"/>
      </w:pPr>
      <w:r>
        <w:rPr>
          <w:rFonts w:ascii="Calibri" w:hAnsi="Calibri"/>
          <w:b/>
          <w:color w:val="1B2A4A"/>
          <w:sz w:val="21"/>
        </w:rPr>
        <w:t xml:space="preserve">Training. </w:t>
      </w:r>
      <w:r>
        <w:rPr>
          <w:rFonts w:ascii="Calibri" w:hAnsi="Calibri"/>
          <w:color w:val="2D3748"/>
          <w:sz w:val="21"/>
        </w:rPr>
        <w:t>EMCDR trains sequentially in three distinct phases, each producing specific artifacts. Phase 1 trains a complete MF-BPR model on movie interactions for 20 epochs, producing user embeddings U_movie and item embeddings V_movie (both 64-dim). Phase 2 independently trains a second MF-BPR model on game interactions for 20 epochs, producing U_game and V_game. Phase 3 is the key innovation: using only the overlap users (those who appear in both domains), it trains a mapping network f that transforms movie embeddings into game space: f(U_movie[u]) ≈ U_game[u].</w:t>
      </w:r>
    </w:p>
    <w:p>
      <w:pPr>
        <w:jc w:val="center"/>
      </w:pPr>
      <w:r>
        <w:drawing>
          <wp:inline xmlns:a="http://schemas.openxmlformats.org/drawingml/2006/main" xmlns:pic="http://schemas.openxmlformats.org/drawingml/2006/picture">
            <wp:extent cx="4572000" cy="2927396"/>
            <wp:docPr id="18" name="Picture 18"/>
            <wp:cNvGraphicFramePr>
              <a:graphicFrameLocks noChangeAspect="1"/>
            </wp:cNvGraphicFramePr>
            <a:graphic>
              <a:graphicData uri="http://schemas.openxmlformats.org/drawingml/2006/picture">
                <pic:pic>
                  <pic:nvPicPr>
                    <pic:cNvPr id="0" name="emcdr_phases.png"/>
                    <pic:cNvPicPr/>
                  </pic:nvPicPr>
                  <pic:blipFill>
                    <a:blip r:embed="rId26"/>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14: EMCDR three-phase training — separate domain models, then a learned mapping network</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2292952"/>
                  <wp:docPr id="19" name="Picture 19"/>
                  <wp:cNvGraphicFramePr>
                    <a:graphicFrameLocks noChangeAspect="1"/>
                  </wp:cNvGraphicFramePr>
                  <a:graphic>
                    <a:graphicData uri="http://schemas.openxmlformats.org/drawingml/2006/picture">
                      <pic:pic>
                        <pic:nvPicPr>
                          <pic:cNvPr id="0" name="formula_emcdr.png"/>
                          <pic:cNvPicPr/>
                        </pic:nvPicPr>
                        <pic:blipFill>
                          <a:blip r:embed="rId27"/>
                          <a:stretch>
                            <a:fillRect/>
                          </a:stretch>
                        </pic:blipFill>
                        <pic:spPr>
                          <a:xfrm>
                            <a:off x="0" y="0"/>
                            <a:ext cx="5303520" cy="2292952"/>
                          </a:xfrm>
                          <a:prstGeom prst="rect"/>
                        </pic:spPr>
                      </pic:pic>
                    </a:graphicData>
                  </a:graphic>
                </wp:inline>
              </w:drawing>
            </w:r>
          </w:p>
          <w:p>
            <w:r>
              <w:rPr>
                <w:rFonts w:ascii="Calibri" w:hAnsi="Calibri"/>
                <w:color w:val="2D3748"/>
                <w:sz w:val="19"/>
              </w:rPr>
              <w:t>Where O is the set of overlap users. The MLP has a single hidden layer (64→64) with ReLU activation, trained with Adam optimizer. The MSE loss pushes the mapped movie embedding to be as close as possible to the true game embedding for each overlap user.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are V_game (game item embeddings) and the trained mapping network f. For any user — including cold-start users with zero game interactions — we first retrieve their movie embedding U_movie[u] (from Phase 1), then compute mapped_emb = f(U_movie[u]). The game score for each item is then mapped_emb · V_game[item]. This makes EMCDR especially powerful at cold-start (Lesson 6: 5× over LightGCN) because any user with movie history can be translated.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Both movie and game embeddings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1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MF-BPR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2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Game MF-BPR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3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network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Mapping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(1 hidden layer)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ReLU activation, MSE loss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Requires overlap users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overlap users train the mapping</w:t>
            </w:r>
          </w:p>
        </w:tc>
      </w:tr>
    </w:tbl>
    <w:p>
      <w:pPr>
        <w:pStyle w:val="Heading2"/>
        <w:spacing w:before="280" w:after="160" w:line="276" w:lineRule="auto"/>
      </w:pPr>
      <w:r>
        <w:rPr>
          <w:rFonts w:ascii="Calibri" w:hAnsi="Calibri"/>
          <w:color w:val="3D5A80"/>
        </w:rPr>
        <w:t>4.7 PTUPCDR: Personalized Transfer with Experts</w:t>
      </w:r>
    </w:p>
    <w:p>
      <w:pPr>
        <w:spacing w:before="0" w:after="120" w:line="276" w:lineRule="auto"/>
      </w:pPr>
      <w:r>
        <w:rPr>
          <w:rFonts w:ascii="Calibri" w:hAnsi="Calibri"/>
          <w:color w:val="2D3748"/>
          <w:sz w:val="21"/>
        </w:rPr>
        <w:t>Analogy — A Team of Specialist Translators. 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p>
      <w:pPr>
        <w:spacing w:before="0" w:after="120" w:line="276" w:lineRule="auto"/>
      </w:pPr>
      <w:r>
        <w:rPr>
          <w:rFonts w:ascii="Calibri" w:hAnsi="Calibri"/>
          <w:b/>
          <w:color w:val="1B2A4A"/>
          <w:sz w:val="21"/>
        </w:rPr>
        <w:t xml:space="preserve">Training. </w:t>
      </w:r>
      <w:r>
        <w:rPr>
          <w:rFonts w:ascii="Calibri" w:hAnsi="Calibri"/>
          <w:color w:val="2D3748"/>
          <w:sz w:val="21"/>
        </w:rPr>
        <w:t>Like EMCDR, PTUPCDR starts with Phase 1 (movie MF-BPR) and Phase 2 (game MF-BPR) to obtain domain-specific embeddings. The key innovation is in Phase 3: instead of a single mapping MLP, PTUPCDR uses a Mixture of Experts (MoE) architecture. The system has K=8 expert networks, each a small MLP (64→64). A gate network g(u_movie) = softmax(W_gate · u_movie) takes the user's movie embedding and outputs 8 weights (one per expert). The mapped embedding is the weighted sum of all expert outputs.</w:t>
      </w:r>
    </w:p>
    <w:p>
      <w:pPr>
        <w:jc w:val="center"/>
      </w:pPr>
      <w:r>
        <w:drawing>
          <wp:inline xmlns:a="http://schemas.openxmlformats.org/drawingml/2006/main" xmlns:pic="http://schemas.openxmlformats.org/drawingml/2006/picture">
            <wp:extent cx="4572000" cy="2927396"/>
            <wp:docPr id="20" name="Picture 20"/>
            <wp:cNvGraphicFramePr>
              <a:graphicFrameLocks noChangeAspect="1"/>
            </wp:cNvGraphicFramePr>
            <a:graphic>
              <a:graphicData uri="http://schemas.openxmlformats.org/drawingml/2006/picture">
                <pic:pic>
                  <pic:nvPicPr>
                    <pic:cNvPr id="0" name="ptupcdr_moe.png"/>
                    <pic:cNvPicPr/>
                  </pic:nvPicPr>
                  <pic:blipFill>
                    <a:blip r:embed="rId28"/>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15: PTUPCDR — personalized transfer via mixture of 8 expert networks with gating</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1" name="Picture 21"/>
                  <wp:cNvGraphicFramePr>
                    <a:graphicFrameLocks noChangeAspect="1"/>
                  </wp:cNvGraphicFramePr>
                  <a:graphic>
                    <a:graphicData uri="http://schemas.openxmlformats.org/drawingml/2006/picture">
                      <pic:pic>
                        <pic:nvPicPr>
                          <pic:cNvPr id="0" name="formula_ptupcdr.png"/>
                          <pic:cNvPicPr/>
                        </pic:nvPicPr>
                        <pic:blipFill>
                          <a:blip r:embed="rId29"/>
                          <a:stretch>
                            <a:fillRect/>
                          </a:stretch>
                        </pic:blipFill>
                        <pic:spPr>
                          <a:xfrm>
                            <a:off x="0" y="0"/>
                            <a:ext cx="5303520" cy="1954648"/>
                          </a:xfrm>
                          <a:prstGeom prst="rect"/>
                        </pic:spPr>
                      </pic:pic>
                    </a:graphicData>
                  </a:graphic>
                </wp:inline>
              </w:drawing>
            </w:r>
          </w:p>
          <w:p>
            <w:r>
              <w:rPr>
                <w:rFonts w:ascii="Calibri" w:hAnsi="Calibri"/>
                <w:color w:val="2D3748"/>
                <w:sz w:val="19"/>
              </w:rPr>
              <w:t>Where w is a learned scalar per user. For cold-start users (no u_game), w=1 and the model relies entirely on the bridge. For warm users, the blend balances translated movie signal with direct game signal. Training minimizes MSE between final_emb and u_game over overlap users, with Adam optimizer.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include V_game, the 8 expert MLPs, the gate network weights, and the blend weight w. At inference, given a user's movie embedding: (1) the gate network produces 8 expert weights, (2) each expert maps the movie embedding, (3) outputs are weighted-summed to produce the bridge embedding, (4) if the user has game history, the bridge is blended with their game embedding, (5) the final embedding is dot-producted with V_game to score all games. PTUPCDR excels in the "few-shot" scenario (Lesson 4): when a user has 1–2 game interactions, the blend formula combines the translated movie profile with the sparse game signal.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Same as EMCDR for fair comparison</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Number of experts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 specialist translator networks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Expert architecture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expert is a small network</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Gate network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Linear + softmax</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Produces per-expert weights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Blend weight (w)</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Learned per user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Balances movie vs game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Content-Based and Post-Processing Models</w:t>
            </w:r>
          </w:p>
          <w:p>
            <w:r>
              <w:rPr>
                <w:rFonts w:ascii="Calibri" w:hAnsi="Calibri"/>
                <w:color w:val="2D3748"/>
                <w:sz w:val="19"/>
              </w:rPr>
              <w:t>The remaining two approaches don't rely on collaborative filtering. SBERT matches items by their text descriptions, while co-occurrence reranking boosts scores based on statistical patterns in the data. Both are training-free and model-agnostic.</w:t>
            </w:r>
          </w:p>
        </w:tc>
      </w:tr>
    </w:tbl>
    <w:p>
      <w:pPr>
        <w:pStyle w:val="Heading2"/>
        <w:spacing w:before="280" w:after="160" w:line="276" w:lineRule="auto"/>
      </w:pPr>
      <w:r>
        <w:rPr>
          <w:rFonts w:ascii="Calibri" w:hAnsi="Calibri"/>
          <w:color w:val="3D5A80"/>
        </w:rPr>
        <w:t>4.8 SBERT-CDR: Content-Based Semantic Matching</w:t>
      </w:r>
    </w:p>
    <w:p>
      <w:pPr>
        <w:spacing w:before="0" w:after="120" w:line="276" w:lineRule="auto"/>
      </w:pPr>
      <w:r>
        <w:rPr>
          <w:rFonts w:ascii="Calibri" w:hAnsi="Calibri"/>
          <w:color w:val="2D3748"/>
          <w:sz w:val="21"/>
        </w:rPr>
        <w:t>Analogy — Reading the Back of the Box. 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p>
      <w:pPr>
        <w:spacing w:before="0" w:after="120" w:line="276" w:lineRule="auto"/>
      </w:pPr>
      <w:r>
        <w:rPr>
          <w:rFonts w:ascii="Calibri" w:hAnsi="Calibri"/>
          <w:b/>
          <w:color w:val="1B2A4A"/>
          <w:sz w:val="21"/>
        </w:rPr>
        <w:t xml:space="preserve">Encoding. </w:t>
      </w:r>
      <w:r>
        <w:rPr>
          <w:rFonts w:ascii="Calibri" w:hAnsi="Calibri"/>
          <w:color w:val="2D3748"/>
          <w:sz w:val="21"/>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pPr>
        <w:jc w:val="center"/>
      </w:pPr>
      <w:r>
        <w:drawing>
          <wp:inline xmlns:a="http://schemas.openxmlformats.org/drawingml/2006/main" xmlns:pic="http://schemas.openxmlformats.org/drawingml/2006/picture">
            <wp:extent cx="4572000" cy="2091070"/>
            <wp:docPr id="22" name="Picture 22"/>
            <wp:cNvGraphicFramePr>
              <a:graphicFrameLocks noChangeAspect="1"/>
            </wp:cNvGraphicFramePr>
            <a:graphic>
              <a:graphicData uri="http://schemas.openxmlformats.org/drawingml/2006/picture">
                <pic:pic>
                  <pic:nvPicPr>
                    <pic:cNvPr id="0" name="sbert_encoding.png"/>
                    <pic:cNvPicPr/>
                  </pic:nvPicPr>
                  <pic:blipFill>
                    <a:blip r:embed="rId30"/>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16: SBERT encoding — item text is transformed into a 384-dim semantic vector</w:t>
      </w:r>
    </w:p>
    <w:p>
      <w:pPr>
        <w:spacing w:before="0" w:after="120" w:line="276" w:lineRule="auto"/>
      </w:pPr>
      <w:r>
        <w:rPr>
          <w:rFonts w:ascii="Calibri" w:hAnsi="Calibri"/>
          <w:b/>
          <w:color w:val="1B2A4A"/>
          <w:sz w:val="21"/>
        </w:rPr>
        <w:t xml:space="preserve">Cross-Domain Mechanism. </w:t>
      </w:r>
      <w:r>
        <w:rPr>
          <w:rFonts w:ascii="Calibri" w:hAnsi="Calibri"/>
          <w:color w:val="2D3748"/>
          <w:sz w:val="21"/>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pPr>
        <w:jc w:val="center"/>
      </w:pPr>
      <w:r>
        <w:drawing>
          <wp:inline xmlns:a="http://schemas.openxmlformats.org/drawingml/2006/main" xmlns:pic="http://schemas.openxmlformats.org/drawingml/2006/picture">
            <wp:extent cx="4572000" cy="2598475"/>
            <wp:docPr id="23" name="Picture 23"/>
            <wp:cNvGraphicFramePr>
              <a:graphicFrameLocks noChangeAspect="1"/>
            </wp:cNvGraphicFramePr>
            <a:graphic>
              <a:graphicData uri="http://schemas.openxmlformats.org/drawingml/2006/picture">
                <pic:pic>
                  <pic:nvPicPr>
                    <pic:cNvPr id="0" name="sbert_cdr.png"/>
                    <pic:cNvPicPr/>
                  </pic:nvPicPr>
                  <pic:blipFill>
                    <a:blip r:embed="rId3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17: SBERT-CDR cross-domain flow — movie profiles match game items through shared semantic space</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4" name="Picture 24"/>
                  <wp:cNvGraphicFramePr>
                    <a:graphicFrameLocks noChangeAspect="1"/>
                  </wp:cNvGraphicFramePr>
                  <a:graphic>
                    <a:graphicData uri="http://schemas.openxmlformats.org/drawingml/2006/picture">
                      <pic:pic>
                        <pic:nvPicPr>
                          <pic:cNvPr id="0" name="formula_sbert.png"/>
                          <pic:cNvPicPr/>
                        </pic:nvPicPr>
                        <pic:blipFill>
                          <a:blip r:embed="rId32"/>
                          <a:stretch>
                            <a:fillRect/>
                          </a:stretch>
                        </pic:blipFill>
                        <pic:spPr>
                          <a:xfrm>
                            <a:off x="0" y="0"/>
                            <a:ext cx="5303520" cy="1954648"/>
                          </a:xfrm>
                          <a:prstGeom prst="rect"/>
                        </pic:spPr>
                      </pic:pic>
                    </a:graphicData>
                  </a:graphic>
                </wp:inline>
              </w:drawing>
            </w:r>
          </w:p>
          <w:p>
            <w:r>
              <w:rPr>
                <w:rFonts w:ascii="Calibri" w:hAnsi="Calibri"/>
                <w:color w:val="2D3748"/>
                <w:sz w:val="19"/>
              </w:rPr>
              <w:t>No training or fine-tuning is performed. The pre-trained encoder is used as-is. This makes SBERT-CDR the only model that requires zero training data from the target domain.</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Encoder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all-MiniLM-L6-v2</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22M params, 6 transformer layers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384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Fixed by the encoder architecture</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Pre-trained; no fine-tuning needed</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Cross-domain mechanism</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text space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 and games encoded identically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Similarity metric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Cosine similarity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Normalized dot product</w:t>
            </w:r>
          </w:p>
        </w:tc>
      </w:tr>
    </w:tbl>
    <w:p>
      <w:pPr>
        <w:pStyle w:val="Heading2"/>
        <w:spacing w:before="280" w:after="160" w:line="276" w:lineRule="auto"/>
      </w:pPr>
      <w:r>
        <w:rPr>
          <w:rFonts w:ascii="Calibri" w:hAnsi="Calibri"/>
          <w:color w:val="3D5A80"/>
        </w:rPr>
        <w:t>4.9 Co-occurrence Reranking</w:t>
      </w:r>
    </w:p>
    <w:p>
      <w:pPr>
        <w:spacing w:before="0" w:after="120" w:line="276" w:lineRule="auto"/>
      </w:pPr>
      <w:r>
        <w:rPr>
          <w:rFonts w:ascii="Calibri" w:hAnsi="Calibri"/>
          <w:color w:val="2D3748"/>
          <w:sz w:val="21"/>
        </w:rPr>
        <w:t>Analogy — Maya’s Sticky-Note Tally. 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p>
      <w:pPr>
        <w:spacing w:before="0" w:after="120" w:line="276" w:lineRule="auto"/>
      </w:pPr>
      <w:r>
        <w:rPr>
          <w:rFonts w:ascii="Calibri" w:hAnsi="Calibri"/>
          <w:b/>
          <w:color w:val="1B2A4A"/>
          <w:sz w:val="21"/>
        </w:rPr>
        <w:t xml:space="preserve">Matrix Construction. </w:t>
      </w:r>
      <w:r>
        <w:rPr>
          <w:rFonts w:ascii="Calibri" w:hAnsi="Calibri"/>
          <w:color w:val="2D3748"/>
          <w:sz w:val="21"/>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pPr>
        <w:jc w:val="center"/>
      </w:pPr>
      <w:r>
        <w:drawing>
          <wp:inline xmlns:a="http://schemas.openxmlformats.org/drawingml/2006/main" xmlns:pic="http://schemas.openxmlformats.org/drawingml/2006/picture">
            <wp:extent cx="4572000" cy="2894202"/>
            <wp:docPr id="25" name="Picture 25"/>
            <wp:cNvGraphicFramePr>
              <a:graphicFrameLocks noChangeAspect="1"/>
            </wp:cNvGraphicFramePr>
            <a:graphic>
              <a:graphicData uri="http://schemas.openxmlformats.org/drawingml/2006/picture">
                <pic:pic>
                  <pic:nvPicPr>
                    <pic:cNvPr id="0" name="cooc_matrix.png"/>
                    <pic:cNvPicPr/>
                  </pic:nvPicPr>
                  <pic:blipFill>
                    <a:blip r:embed="rId33"/>
                    <a:stretch>
                      <a:fillRect/>
                    </a:stretch>
                  </pic:blipFill>
                  <pic:spPr>
                    <a:xfrm>
                      <a:off x="0" y="0"/>
                      <a:ext cx="4572000" cy="2894202"/>
                    </a:xfrm>
                    <a:prstGeom prst="rect"/>
                  </pic:spPr>
                </pic:pic>
              </a:graphicData>
            </a:graphic>
          </wp:inline>
        </w:drawing>
      </w:r>
    </w:p>
    <w:p>
      <w:pPr>
        <w:jc w:val="center"/>
        <w:spacing w:before="30" w:after="120" w:line="276" w:lineRule="auto"/>
      </w:pPr>
      <w:r>
        <w:rPr>
          <w:rFonts w:ascii="Calibri" w:hAnsi="Calibri"/>
          <w:i/>
          <w:color w:val="64748B"/>
          <w:sz w:val="18"/>
        </w:rPr>
        <w:t>Figure 18: Co-occurrence matrix construction — counting and normalizing cross-domain user overlap</w:t>
      </w:r>
    </w:p>
    <w:p>
      <w:pPr>
        <w:spacing w:before="0" w:after="120" w:line="276" w:lineRule="auto"/>
      </w:pPr>
      <w:r>
        <w:rPr>
          <w:rFonts w:ascii="Calibri" w:hAnsi="Calibri"/>
          <w:b/>
          <w:color w:val="1B2A4A"/>
          <w:sz w:val="21"/>
        </w:rPr>
        <w:t xml:space="preserve">Inference. </w:t>
      </w:r>
      <w:r>
        <w:rPr>
          <w:rFonts w:ascii="Calibri" w:hAnsi="Calibri"/>
          <w:color w:val="2D3748"/>
          <w:sz w:val="21"/>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pPr>
        <w:jc w:val="center"/>
      </w:pPr>
      <w:r>
        <w:drawing>
          <wp:inline xmlns:a="http://schemas.openxmlformats.org/drawingml/2006/main" xmlns:pic="http://schemas.openxmlformats.org/drawingml/2006/picture">
            <wp:extent cx="4572000" cy="2445488"/>
            <wp:docPr id="26" name="Picture 26"/>
            <wp:cNvGraphicFramePr>
              <a:graphicFrameLocks noChangeAspect="1"/>
            </wp:cNvGraphicFramePr>
            <a:graphic>
              <a:graphicData uri="http://schemas.openxmlformats.org/drawingml/2006/picture">
                <pic:pic>
                  <pic:nvPicPr>
                    <pic:cNvPr id="0" name="cooc_reranking.png"/>
                    <pic:cNvPicPr/>
                  </pic:nvPicPr>
                  <pic:blipFill>
                    <a:blip r:embed="rId3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19: Co-occurrence reranking at inference — base model scores are boosted by cross-domain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7" name="Picture 27"/>
                  <wp:cNvGraphicFramePr>
                    <a:graphicFrameLocks noChangeAspect="1"/>
                  </wp:cNvGraphicFramePr>
                  <a:graphic>
                    <a:graphicData uri="http://schemas.openxmlformats.org/drawingml/2006/picture">
                      <pic:pic>
                        <pic:nvPicPr>
                          <pic:cNvPr id="0" name="formula_cooc.png"/>
                          <pic:cNvPicPr/>
                        </pic:nvPicPr>
                        <pic:blipFill>
                          <a:blip r:embed="rId35"/>
                          <a:stretch>
                            <a:fillRect/>
                          </a:stretch>
                        </pic:blipFill>
                        <pic:spPr>
                          <a:xfrm>
                            <a:off x="0" y="0"/>
                            <a:ext cx="5303520" cy="1954648"/>
                          </a:xfrm>
                          <a:prstGeom prst="rect"/>
                        </pic:spPr>
                      </pic:pic>
                    </a:graphicData>
                  </a:graphic>
                </wp:inline>
              </w:drawing>
            </w:r>
          </w:p>
          <w:p>
            <w:r>
              <w:rPr>
                <w:rFonts w:ascii="Calibri" w:hAnsi="Calibri"/>
                <w:color w:val="2D3748"/>
                <w:sz w:val="19"/>
              </w:rPr>
              <w:t>The λ parameter is tuned per base model via grid search. No training is involved — the matrix is computed directly from interaction counts. This makes co-occurrence reranking deterministic, reproducible, and extremely fast to apply.</w:t>
            </w:r>
          </w:p>
        </w:tc>
      </w:tr>
    </w:tbl>
    <w:p>
      <w:pPr>
        <w:spacing w:before="0" w:after="120" w:line="276" w:lineRule="auto"/>
      </w:pPr>
      <w:r>
        <w:rPr>
          <w:rFonts w:ascii="Calibri" w:hAnsi="Calibri"/>
          <w:color w:val="2D3748"/>
          <w:sz w:val="21"/>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Property</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Computed from co-occurrence counts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Model-agnostic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Applied on top of any base model</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Strength parameter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Tuned per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Grid search over [0.1, 0.5, 1, 2,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Cold-start boost</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 (LightGCN)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Dramatic improvement for weak models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Matrix density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Sparse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(movie,game) pairs with shared users</w:t>
            </w:r>
          </w:p>
        </w:tc>
      </w:tr>
    </w:tbl>
    <w:p>
      <w:pPr>
        <w:pStyle w:val="Heading1"/>
        <w:pBdr>
          <w:bottom w:val="single" w:sz="8" w:space="4" w:color="2E7D8C"/>
        </w:pBdr>
        <w:spacing w:before="360" w:after="200" w:line="276" w:lineRule="auto"/>
      </w:pPr>
      <w:r>
        <w:rPr>
          <w:rFonts w:ascii="Calibri" w:hAnsi="Calibri"/>
          <w:color w:val="1B2A4A"/>
        </w:rPr>
        <w:t>5. Experiments and Results</w:t>
      </w:r>
    </w:p>
    <w:p>
      <w:pPr>
        <w:spacing w:before="0" w:after="120" w:line="276" w:lineRule="auto"/>
      </w:pPr>
      <w:r>
        <w:rPr>
          <w:rFonts w:ascii="Calibri" w:hAnsi="Calibri"/>
          <w:color w:val="2D3748"/>
          <w:sz w:val="21"/>
        </w:rPr>
        <w:t>Each lesson isolates a single experimental variable to build understanding incrementally. We report Recall@10 (full-rank) as the primary metric throughout.</w:t>
      </w:r>
    </w:p>
    <w:p>
      <w:pPr>
        <w:pStyle w:val="Heading2"/>
        <w:spacing w:before="280" w:after="160" w:line="276" w:lineRule="auto"/>
      </w:pPr>
      <w:r>
        <w:rPr>
          <w:rFonts w:ascii="Calibri" w:hAnsi="Calibri"/>
          <w:color w:val="3D5A80"/>
        </w:rPr>
        <w:t>5.1 Lesson 1: Explicit vs Implicit Ranking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Loss function (BPR pairwise ranking vs RMSE regression). Held Constant: Model architecture (MF), data (1M users), evaluation protocol.</w:t>
              <w:br/>
              <w:t>Expectation: BPR should outperform because it directly optimizes the ranking objective that evaluation metrics measure.</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Loss Function</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BPR pairwise ranking</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MF-Explicit</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RMSE on star ratings</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BPR wins 5.2× on Recall@10. The ranking loss directly optimizes the quantity that evaluation metrics measure, while RMSE optimizes prediction accuracy on ratings that may not correlate with top-K relevance.</w:t>
            </w:r>
          </w:p>
        </w:tc>
      </w:tr>
    </w:tbl>
    <w:p>
      <w:pPr>
        <w:jc w:val="center"/>
      </w:pPr>
      <w:r>
        <w:drawing>
          <wp:inline xmlns:a="http://schemas.openxmlformats.org/drawingml/2006/main" xmlns:pic="http://schemas.openxmlformats.org/drawingml/2006/picture">
            <wp:extent cx="4572000" cy="2649542"/>
            <wp:docPr id="28" name="Picture 28"/>
            <wp:cNvGraphicFramePr>
              <a:graphicFrameLocks noChangeAspect="1"/>
            </wp:cNvGraphicFramePr>
            <a:graphic>
              <a:graphicData uri="http://schemas.openxmlformats.org/drawingml/2006/picture">
                <pic:pic>
                  <pic:nvPicPr>
                    <pic:cNvPr id="0" name="lesson_1_20260406_150249.png"/>
                    <pic:cNvPicPr/>
                  </pic:nvPicPr>
                  <pic:blipFill>
                    <a:blip r:embed="rId36"/>
                    <a:stretch>
                      <a:fillRect/>
                    </a:stretch>
                  </pic:blipFill>
                  <pic:spPr>
                    <a:xfrm>
                      <a:off x="0" y="0"/>
                      <a:ext cx="4572000" cy="2649542"/>
                    </a:xfrm>
                    <a:prstGeom prst="rect"/>
                  </pic:spPr>
                </pic:pic>
              </a:graphicData>
            </a:graphic>
          </wp:inline>
        </w:drawing>
      </w:r>
    </w:p>
    <w:p>
      <w:pPr>
        <w:jc w:val="center"/>
        <w:spacing w:before="30" w:after="120" w:line="276" w:lineRule="auto"/>
      </w:pPr>
      <w:r>
        <w:rPr>
          <w:rFonts w:ascii="Calibri" w:hAnsi="Calibri"/>
          <w:i/>
          <w:color w:val="64748B"/>
          <w:sz w:val="18"/>
        </w:rPr>
        <w:t>Figure 20: Lesson 1 — MF-BPR vs MF-Explicit comparison</w:t>
      </w:r>
    </w:p>
    <w:p>
      <w:pPr>
        <w:pStyle w:val="Heading2"/>
        <w:spacing w:before="280" w:after="160" w:line="276" w:lineRule="auto"/>
      </w:pPr>
      <w:r>
        <w:rPr>
          <w:rFonts w:ascii="Calibri" w:hAnsi="Calibri"/>
          <w:color w:val="3D5A80"/>
        </w:rPr>
        <w:t>5.2 Lesson 2: Low Overlap Kills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architecture — comparing 3 single-domain models (MF-BPR, NCF, LightGCN) vs 3 CDR models (CMF, EMCDR, PTUPCDR).</w:t>
              <w:br/>
              <w:t>Held Constant: Data (1M users, 5.2% overlap), loss function (BPR for all), evaluation protocol (full-rank + sampled).</w:t>
              <w:br/>
              <w:t>Expectation: CDR models should outperform single-domain baselines because they can leverage movie history. However, the very low overlap (5.2%) may starve the cross-domain mapping functions of training data.</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0.0290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0.0093</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0.0160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0.0069</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-59%</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-71%</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-83%</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tc>
      </w:tr>
    </w:tbl>
    <w:p>
      <w:pPr>
        <w:jc w:val="center"/>
      </w:pPr>
      <w:r>
        <w:drawing>
          <wp:inline xmlns:a="http://schemas.openxmlformats.org/drawingml/2006/main" xmlns:pic="http://schemas.openxmlformats.org/drawingml/2006/picture">
            <wp:extent cx="4572000" cy="1464948"/>
            <wp:docPr id="29" name="Picture 29"/>
            <wp:cNvGraphicFramePr>
              <a:graphicFrameLocks noChangeAspect="1"/>
            </wp:cNvGraphicFramePr>
            <a:graphic>
              <a:graphicData uri="http://schemas.openxmlformats.org/drawingml/2006/picture">
                <pic:pic>
                  <pic:nvPicPr>
                    <pic:cNvPr id="0" name="lesson_2_20260406_141818.png"/>
                    <pic:cNvPicPr/>
                  </pic:nvPicPr>
                  <pic:blipFill>
                    <a:blip r:embed="rId37"/>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21: Lesson 2 — All models on mixed population (5.8% overlap)</w:t>
      </w:r>
    </w:p>
    <w:p>
      <w:pPr>
        <w:pStyle w:val="Heading2"/>
        <w:spacing w:before="280" w:after="160" w:line="276" w:lineRule="auto"/>
      </w:pPr>
      <w:r>
        <w:rPr>
          <w:rFonts w:ascii="Calibri" w:hAnsi="Calibri"/>
          <w:color w:val="3D5A80"/>
        </w:rPr>
        <w:t>5.3 Lesson 3: Overlap Filtering Rescues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User overlap — from 5.2% to 100% by filtering to users active in both domains.</w:t>
              <w:br/>
              <w:t>Held Constant: Model set, evaluation protocol, loss function.</w:t>
              <w:br/>
              <w:t>Expectation: With 100% overlap, CDR models should dramatically improve as mapping functions now have sufficient shared users to train on.</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0.0316</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0.0224</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0.0176</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0.0144</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0.0139</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scores improve dramatically vs L2. CMF jumps from 0.005 to 0.040 (8×). PTUPCDR from 0.009 to 0.032 (3.5×). The 100% overlap dataset provides sufficient shared users for CDR mapping functions to learn meaningful cross-domain relationships.</w:t>
            </w:r>
          </w:p>
        </w:tc>
      </w:tr>
    </w:tbl>
    <w:p>
      <w:pPr>
        <w:jc w:val="center"/>
      </w:pPr>
      <w:r>
        <w:drawing>
          <wp:inline xmlns:a="http://schemas.openxmlformats.org/drawingml/2006/main" xmlns:pic="http://schemas.openxmlformats.org/drawingml/2006/picture">
            <wp:extent cx="4572000" cy="2513744"/>
            <wp:docPr id="30" name="Picture 30"/>
            <wp:cNvGraphicFramePr>
              <a:graphicFrameLocks noChangeAspect="1"/>
            </wp:cNvGraphicFramePr>
            <a:graphic>
              <a:graphicData uri="http://schemas.openxmlformats.org/drawingml/2006/picture">
                <pic:pic>
                  <pic:nvPicPr>
                    <pic:cNvPr id="0" name="overlap_impact.png"/>
                    <pic:cNvPicPr/>
                  </pic:nvPicPr>
                  <pic:blipFill>
                    <a:blip r:embed="rId38"/>
                    <a:stretch>
                      <a:fillRect/>
                    </a:stretch>
                  </pic:blipFill>
                  <pic:spPr>
                    <a:xfrm>
                      <a:off x="0" y="0"/>
                      <a:ext cx="4572000" cy="2513744"/>
                    </a:xfrm>
                    <a:prstGeom prst="rect"/>
                  </pic:spPr>
                </pic:pic>
              </a:graphicData>
            </a:graphic>
          </wp:inline>
        </w:drawing>
      </w:r>
    </w:p>
    <w:p>
      <w:pPr>
        <w:jc w:val="center"/>
        <w:spacing w:before="30" w:after="120" w:line="276" w:lineRule="auto"/>
      </w:pPr>
      <w:r>
        <w:rPr>
          <w:rFonts w:ascii="Calibri" w:hAnsi="Calibri"/>
          <w:i/>
          <w:color w:val="64748B"/>
          <w:sz w:val="18"/>
        </w:rPr>
        <w:t>Figure 22: Impact of user overlap — CDR models gain 40–690% when overlap increases from 5.8% to 100%</w:t>
      </w:r>
    </w:p>
    <w:p>
      <w:pPr>
        <w:jc w:val="center"/>
      </w:pPr>
      <w:r>
        <w:drawing>
          <wp:inline xmlns:a="http://schemas.openxmlformats.org/drawingml/2006/main" xmlns:pic="http://schemas.openxmlformats.org/drawingml/2006/picture">
            <wp:extent cx="4572000" cy="1464948"/>
            <wp:docPr id="31" name="Picture 31"/>
            <wp:cNvGraphicFramePr>
              <a:graphicFrameLocks noChangeAspect="1"/>
            </wp:cNvGraphicFramePr>
            <a:graphic>
              <a:graphicData uri="http://schemas.openxmlformats.org/drawingml/2006/picture">
                <pic:pic>
                  <pic:nvPicPr>
                    <pic:cNvPr id="0" name="lesson_3_20260406_095501.png"/>
                    <pic:cNvPicPr/>
                  </pic:nvPicPr>
                  <pic:blipFill>
                    <a:blip r:embed="rId39"/>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23: Lesson 3 — 100% overlap users (19,880 users)</w:t>
      </w:r>
    </w:p>
    <w:p>
      <w:pPr>
        <w:pStyle w:val="Heading2"/>
        <w:spacing w:before="280" w:after="160" w:line="276" w:lineRule="auto"/>
      </w:pPr>
      <w:r>
        <w:rPr>
          <w:rFonts w:ascii="Calibri" w:hAnsi="Calibri"/>
          <w:color w:val="3D5A80"/>
        </w:rPr>
        <w:t>5.4 Lesson 4: Source-Rich / Target-Sparse</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Source-domain richness — requiring ≥10 movie ratings (vs ≥5 in L3).</w:t>
              <w:br/>
              <w:t>Held Constant: 100% overlap, evaluation protocol.</w:t>
              <w:br/>
              <w:t>Expectation: Richer movie history should give CDR models better source embeddings to transfer from.</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-63%</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-75%</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PTUPCDR closes to within 17% of LightGCN (was 71% gap in L2). Richer source embeddings from ≥10 movie ratings improve the quality of the personalized MoE mapping.</w:t>
            </w:r>
          </w:p>
        </w:tc>
      </w:tr>
    </w:tbl>
    <w:p>
      <w:pPr>
        <w:jc w:val="center"/>
      </w:pPr>
      <w:r>
        <w:drawing>
          <wp:inline xmlns:a="http://schemas.openxmlformats.org/drawingml/2006/main" xmlns:pic="http://schemas.openxmlformats.org/drawingml/2006/picture">
            <wp:extent cx="4572000" cy="1464948"/>
            <wp:docPr id="32" name="Picture 32"/>
            <wp:cNvGraphicFramePr>
              <a:graphicFrameLocks noChangeAspect="1"/>
            </wp:cNvGraphicFramePr>
            <a:graphic>
              <a:graphicData uri="http://schemas.openxmlformats.org/drawingml/2006/picture">
                <pic:pic>
                  <pic:nvPicPr>
                    <pic:cNvPr id="0" name="lesson_4_20260406_104005.png"/>
                    <pic:cNvPicPr/>
                  </pic:nvPicPr>
                  <pic:blipFill>
                    <a:blip r:embed="rId40"/>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24: Lesson 4 — Source-rich overlap users</w:t>
      </w:r>
    </w:p>
    <w:p>
      <w:pPr>
        <w:pStyle w:val="Heading2"/>
        <w:spacing w:before="280" w:after="160" w:line="276" w:lineRule="auto"/>
      </w:pPr>
      <w:r>
        <w:rPr>
          <w:rFonts w:ascii="Calibri" w:hAnsi="Calibri"/>
          <w:color w:val="3D5A80"/>
        </w:rPr>
        <w:t>5.5 Lesson 5: Catalog Sharpening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Movie catalog size — from 39,534 (L4) to 10,311 (L5) by removing movies with &lt;10 interactions, reducing the catalog by 74% while sharpening 75% of interactions.</w:t>
              <w:br/>
              <w:t>Held Constant: Users (14,328), game catalog (9,147), model set, evaluation protocol, overlap (100%).</w:t>
              <w:br/>
              <w:t>Expectation: Removing noisy long-tail movies should improve signal quality for collaborative models. SBERT-based models might suffer since they can leverage even rare items.</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Removing 74% of the movie catalog has minimal impact. LightGCN drops -10%, PTUPCDR drops -12%, but NCF actually improves +54%. CDR models show mixed results, suggesting that catalog manipulation is not a reliable lever for improving CDR.</w:t>
            </w:r>
          </w:p>
        </w:tc>
      </w:tr>
    </w:tbl>
    <w:p>
      <w:pPr>
        <w:jc w:val="center"/>
      </w:pPr>
      <w:r>
        <w:drawing>
          <wp:inline xmlns:a="http://schemas.openxmlformats.org/drawingml/2006/main" xmlns:pic="http://schemas.openxmlformats.org/drawingml/2006/picture">
            <wp:extent cx="4572000" cy="1254601"/>
            <wp:docPr id="33" name="Picture 33"/>
            <wp:cNvGraphicFramePr>
              <a:graphicFrameLocks noChangeAspect="1"/>
            </wp:cNvGraphicFramePr>
            <a:graphic>
              <a:graphicData uri="http://schemas.openxmlformats.org/drawingml/2006/picture">
                <pic:pic>
                  <pic:nvPicPr>
                    <pic:cNvPr id="0" name="lesson_5_20260406_225618.png"/>
                    <pic:cNvPicPr/>
                  </pic:nvPicPr>
                  <pic:blipFill>
                    <a:blip r:embed="rId41"/>
                    <a:stretch>
                      <a:fillRect/>
                    </a:stretch>
                  </pic:blipFill>
                  <pic:spPr>
                    <a:xfrm>
                      <a:off x="0" y="0"/>
                      <a:ext cx="4572000" cy="1254601"/>
                    </a:xfrm>
                    <a:prstGeom prst="rect"/>
                  </pic:spPr>
                </pic:pic>
              </a:graphicData>
            </a:graphic>
          </wp:inline>
        </w:drawing>
      </w:r>
    </w:p>
    <w:p>
      <w:pPr>
        <w:jc w:val="center"/>
        <w:spacing w:before="30" w:after="120" w:line="276" w:lineRule="auto"/>
      </w:pPr>
      <w:r>
        <w:rPr>
          <w:rFonts w:ascii="Calibri" w:hAnsi="Calibri"/>
          <w:i/>
          <w:color w:val="64748B"/>
          <w:sz w:val="18"/>
        </w:rPr>
        <w:t>Figure 25: Lesson 5 — Catalog sharpening ablation</w:t>
      </w:r>
    </w:p>
    <w:p>
      <w:pPr>
        <w:pStyle w:val="Heading2"/>
        <w:spacing w:before="280" w:after="160" w:line="276" w:lineRule="auto"/>
      </w:pPr>
      <w:r>
        <w:rPr>
          <w:rFonts w:ascii="Calibri" w:hAnsi="Calibri"/>
          <w:color w:val="3D5A80"/>
        </w:rPr>
        <w:t>5.6 Lesson 6: Cold-Start Protocol</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Evaluation split — 80% warm users (full game history in training), 20% cold users (zero game interactions in training, only movie history). Evaluate on cold users only.</w:t>
              <w:br/>
              <w:t>Held Constant: Data (overlap users), model set.</w:t>
              <w:br/>
              <w:t>Expectation: CDR models should outperform single-domain models by 2–5× on cold users.</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Baseline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0.0194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5.7×</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0.0301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0.0008</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tc>
      </w:tr>
    </w:tbl>
    <w:p>
      <w:pPr>
        <w:jc w:val="center"/>
      </w:pPr>
      <w:r>
        <w:drawing>
          <wp:inline xmlns:a="http://schemas.openxmlformats.org/drawingml/2006/main" xmlns:pic="http://schemas.openxmlformats.org/drawingml/2006/picture">
            <wp:extent cx="4572000" cy="2765820"/>
            <wp:docPr id="34" name="Picture 34"/>
            <wp:cNvGraphicFramePr>
              <a:graphicFrameLocks noChangeAspect="1"/>
            </wp:cNvGraphicFramePr>
            <a:graphic>
              <a:graphicData uri="http://schemas.openxmlformats.org/drawingml/2006/picture">
                <pic:pic>
                  <pic:nvPicPr>
                    <pic:cNvPr id="0" name="coldstart_comparison.png"/>
                    <pic:cNvPicPr/>
                  </pic:nvPicPr>
                  <pic:blipFill>
                    <a:blip r:embed="rId42"/>
                    <a:stretch>
                      <a:fillRect/>
                    </a:stretch>
                  </pic:blipFill>
                  <pic:spPr>
                    <a:xfrm>
                      <a:off x="0" y="0"/>
                      <a:ext cx="4572000" cy="2765820"/>
                    </a:xfrm>
                    <a:prstGeom prst="rect"/>
                  </pic:spPr>
                </pic:pic>
              </a:graphicData>
            </a:graphic>
          </wp:inline>
        </w:drawing>
      </w:r>
    </w:p>
    <w:p>
      <w:pPr>
        <w:jc w:val="center"/>
        <w:spacing w:before="30" w:after="120" w:line="276" w:lineRule="auto"/>
      </w:pPr>
      <w:r>
        <w:rPr>
          <w:rFonts w:ascii="Calibri" w:hAnsi="Calibri"/>
          <w:i/>
          <w:color w:val="64748B"/>
          <w:sz w:val="18"/>
        </w:rPr>
        <w:t>Figure 26: Cold-start Recall@10 — CDR mapping models (teal) vs single-domain (blue)</w:t>
      </w:r>
    </w:p>
    <w:p>
      <w:pPr>
        <w:jc w:val="center"/>
      </w:pPr>
      <w:r>
        <w:drawing>
          <wp:inline xmlns:a="http://schemas.openxmlformats.org/drawingml/2006/main" xmlns:pic="http://schemas.openxmlformats.org/drawingml/2006/picture">
            <wp:extent cx="4572000" cy="796903"/>
            <wp:docPr id="35" name="Picture 35"/>
            <wp:cNvGraphicFramePr>
              <a:graphicFrameLocks noChangeAspect="1"/>
            </wp:cNvGraphicFramePr>
            <a:graphic>
              <a:graphicData uri="http://schemas.openxmlformats.org/drawingml/2006/picture">
                <pic:pic>
                  <pic:nvPicPr>
                    <pic:cNvPr id="0" name="lesson_6_20260407_093423.png"/>
                    <pic:cNvPicPr/>
                  </pic:nvPicPr>
                  <pic:blipFill>
                    <a:blip r:embed="rId43"/>
                    <a:stretch>
                      <a:fillRect/>
                    </a:stretch>
                  </pic:blipFill>
                  <pic:spPr>
                    <a:xfrm>
                      <a:off x="0" y="0"/>
                      <a:ext cx="4572000" cy="796903"/>
                    </a:xfrm>
                    <a:prstGeom prst="rect"/>
                  </pic:spPr>
                </pic:pic>
              </a:graphicData>
            </a:graphic>
          </wp:inline>
        </w:drawing>
      </w:r>
    </w:p>
    <w:p>
      <w:pPr>
        <w:jc w:val="center"/>
        <w:spacing w:before="30" w:after="120" w:line="276" w:lineRule="auto"/>
      </w:pPr>
      <w:r>
        <w:rPr>
          <w:rFonts w:ascii="Calibri" w:hAnsi="Calibri"/>
          <w:i/>
          <w:color w:val="64748B"/>
          <w:sz w:val="18"/>
        </w:rPr>
        <w:t>Figure 27: Lesson 6 — Cold-start: CDR vs single-domain on zero-game users</w:t>
      </w:r>
    </w:p>
    <w:p>
      <w:pPr>
        <w:pStyle w:val="Heading2"/>
        <w:spacing w:before="280" w:after="160" w:line="276" w:lineRule="auto"/>
      </w:pPr>
      <w:r>
        <w:rPr>
          <w:rFonts w:ascii="Calibri" w:hAnsi="Calibri"/>
          <w:color w:val="3D5A80"/>
        </w:rPr>
        <w:t>5.7 Lesson 7: Content-Aware CDR (SBERT)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type — adding content-based SBERT and SBERT-CDR to the comparison.</w:t>
              <w:br/>
              <w:t>Held Constant: Data (src-rich overlap), evaluation protocol.</w:t>
              <w:br/>
              <w:t>Expectation: SBERT-CDR should bridge movie and game content in a shared semantic space, particularly for unpopular/niche target items.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Overall 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Niche Subgroup Recall@10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0.0122</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0.1098 (9×)</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 (in-domain)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0.1341 (11×)</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tc>
      </w:tr>
    </w:tbl>
    <w:p>
      <w:pPr>
        <w:jc w:val="center"/>
      </w:pPr>
      <w:r>
        <w:drawing>
          <wp:inline xmlns:a="http://schemas.openxmlformats.org/drawingml/2006/main" xmlns:pic="http://schemas.openxmlformats.org/drawingml/2006/picture">
            <wp:extent cx="4572000" cy="2202756"/>
            <wp:docPr id="36" name="Picture 36"/>
            <wp:cNvGraphicFramePr>
              <a:graphicFrameLocks noChangeAspect="1"/>
            </wp:cNvGraphicFramePr>
            <a:graphic>
              <a:graphicData uri="http://schemas.openxmlformats.org/drawingml/2006/picture">
                <pic:pic>
                  <pic:nvPicPr>
                    <pic:cNvPr id="0" name="lesson_7_20260406_222021.png"/>
                    <pic:cNvPicPr/>
                  </pic:nvPicPr>
                  <pic:blipFill>
                    <a:blip r:embed="rId44"/>
                    <a:stretch>
                      <a:fillRect/>
                    </a:stretch>
                  </pic:blipFill>
                  <pic:spPr>
                    <a:xfrm>
                      <a:off x="0" y="0"/>
                      <a:ext cx="4572000" cy="2202756"/>
                    </a:xfrm>
                    <a:prstGeom prst="rect"/>
                  </pic:spPr>
                </pic:pic>
              </a:graphicData>
            </a:graphic>
          </wp:inline>
        </w:drawing>
      </w:r>
    </w:p>
    <w:p>
      <w:pPr>
        <w:jc w:val="center"/>
        <w:spacing w:before="30" w:after="120" w:line="276" w:lineRule="auto"/>
      </w:pPr>
      <w:r>
        <w:rPr>
          <w:rFonts w:ascii="Calibri" w:hAnsi="Calibri"/>
          <w:i/>
          <w:color w:val="64748B"/>
          <w:sz w:val="18"/>
        </w:rPr>
        <w:t>Figure 28: Lesson 7 — SBERT vs collaborative models</w:t>
      </w:r>
    </w:p>
    <w:p>
      <w:pPr>
        <w:jc w:val="center"/>
      </w:pPr>
      <w:r>
        <w:drawing>
          <wp:inline xmlns:a="http://schemas.openxmlformats.org/drawingml/2006/main" xmlns:pic="http://schemas.openxmlformats.org/drawingml/2006/picture">
            <wp:extent cx="4572000" cy="1691487"/>
            <wp:docPr id="37" name="Picture 37"/>
            <wp:cNvGraphicFramePr>
              <a:graphicFrameLocks noChangeAspect="1"/>
            </wp:cNvGraphicFramePr>
            <a:graphic>
              <a:graphicData uri="http://schemas.openxmlformats.org/drawingml/2006/picture">
                <pic:pic>
                  <pic:nvPicPr>
                    <pic:cNvPr id="0" name="lesson_7_subgroups_20260406_222021.png"/>
                    <pic:cNvPicPr/>
                  </pic:nvPicPr>
                  <pic:blipFill>
                    <a:blip r:embed="rId45"/>
                    <a:stretch>
                      <a:fillRect/>
                    </a:stretch>
                  </pic:blipFill>
                  <pic:spPr>
                    <a:xfrm>
                      <a:off x="0" y="0"/>
                      <a:ext cx="4572000" cy="1691487"/>
                    </a:xfrm>
                    <a:prstGeom prst="rect"/>
                  </pic:spPr>
                </pic:pic>
              </a:graphicData>
            </a:graphic>
          </wp:inline>
        </w:drawing>
      </w:r>
    </w:p>
    <w:p>
      <w:pPr>
        <w:jc w:val="center"/>
        <w:spacing w:before="30" w:after="120" w:line="276" w:lineRule="auto"/>
      </w:pPr>
      <w:r>
        <w:rPr>
          <w:rFonts w:ascii="Calibri" w:hAnsi="Calibri"/>
          <w:i/>
          <w:color w:val="64748B"/>
          <w:sz w:val="18"/>
        </w:rPr>
        <w:t>Figure 29: Lesson 7 — Subgroup analysis: SBERT dominates niche items</w:t>
      </w:r>
    </w:p>
    <w:p>
      <w:pPr>
        <w:pStyle w:val="Heading2"/>
        <w:spacing w:before="280" w:after="160" w:line="276" w:lineRule="auto"/>
      </w:pPr>
      <w:r>
        <w:rPr>
          <w:rFonts w:ascii="Calibri" w:hAnsi="Calibri"/>
          <w:color w:val="3D5A80"/>
        </w:rPr>
        <w:t>5.8 Lesson 8: Co-occurrence Reranking</w:t>
      </w:r>
    </w:p>
    <w:p>
      <w:pPr>
        <w:spacing w:before="0" w:after="120" w:line="276" w:lineRule="auto"/>
      </w:pPr>
      <w:r>
        <w:rPr>
          <w:rFonts w:ascii="Calibri" w:hAnsi="Calibri"/>
          <w:color w:val="2D3748"/>
          <w:sz w:val="21"/>
        </w:rPr>
        <w:t>We test whether a training-free movie→game co-occurrence reranking layer improves every model across all regimes.</w:t>
      </w:r>
    </w:p>
    <w:p>
      <w:pPr>
        <w:pStyle w:val="Heading3"/>
        <w:spacing w:before="200" w:after="120" w:line="276" w:lineRule="auto"/>
      </w:pPr>
      <w:r>
        <w:rPr>
          <w:rFonts w:ascii="Calibri" w:hAnsi="Calibri"/>
          <w:color w:val="2E7D8C"/>
        </w:rPr>
        <w:t>LLO Results (Lesson 3 dataset, 100% overlap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0.0625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0.0520</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0.0355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+13%</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0.0370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+49%</w:t>
            </w:r>
          </w:p>
        </w:tc>
      </w:tr>
    </w:tbl>
    <w:p>
      <w:pPr>
        <w:pStyle w:val="Heading3"/>
        <w:spacing w:before="200" w:after="120" w:line="276" w:lineRule="auto"/>
      </w:pPr>
      <w:r>
        <w:rPr>
          <w:rFonts w:ascii="Calibri" w:hAnsi="Calibri"/>
          <w:color w:val="2E7D8C"/>
        </w:rPr>
        <w:t>Cold-Start Results (Lesson 6 split)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+1.6%</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0.0341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0.0321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bl>
    <w:p>
      <w:pPr>
        <w:jc w:val="center"/>
      </w:pPr>
      <w:r>
        <w:drawing>
          <wp:inline xmlns:a="http://schemas.openxmlformats.org/drawingml/2006/main" xmlns:pic="http://schemas.openxmlformats.org/drawingml/2006/picture">
            <wp:extent cx="4572000" cy="1842841"/>
            <wp:docPr id="38" name="Picture 38"/>
            <wp:cNvGraphicFramePr>
              <a:graphicFrameLocks noChangeAspect="1"/>
            </wp:cNvGraphicFramePr>
            <a:graphic>
              <a:graphicData uri="http://schemas.openxmlformats.org/drawingml/2006/picture">
                <pic:pic>
                  <pic:nvPicPr>
                    <pic:cNvPr id="0" name="results_summary.png"/>
                    <pic:cNvPicPr/>
                  </pic:nvPicPr>
                  <pic:blipFill>
                    <a:blip r:embed="rId46"/>
                    <a:stretch>
                      <a:fillRect/>
                    </a:stretch>
                  </pic:blipFill>
                  <pic:spPr>
                    <a:xfrm>
                      <a:off x="0" y="0"/>
                      <a:ext cx="4572000" cy="1842841"/>
                    </a:xfrm>
                    <a:prstGeom prst="rect"/>
                  </pic:spPr>
                </pic:pic>
              </a:graphicData>
            </a:graphic>
          </wp:inline>
        </w:drawing>
      </w:r>
    </w:p>
    <w:p>
      <w:pPr>
        <w:jc w:val="center"/>
        <w:spacing w:before="30" w:after="120" w:line="276" w:lineRule="auto"/>
      </w:pPr>
      <w:r>
        <w:rPr>
          <w:rFonts w:ascii="Calibri" w:hAnsi="Calibri"/>
          <w:i/>
          <w:color w:val="64748B"/>
          <w:sz w:val="18"/>
        </w:rPr>
        <w:t>Figure 30: Key results summary — base vs cooc across LLO (left) and cold-start (right)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c>
      </w:tr>
    </w:tbl>
    <w:p>
      <w:pPr>
        <w:pStyle w:val="Heading2"/>
        <w:spacing w:before="280" w:after="160" w:line="276" w:lineRule="auto"/>
      </w:pPr>
      <w:r>
        <w:rPr>
          <w:rFonts w:ascii="Calibri" w:hAnsi="Calibri"/>
          <w:color w:val="3D5A80"/>
        </w:rPr>
        <w:t>5.9 Hyperparameter Analysis</w:t>
      </w:r>
    </w:p>
    <w:p>
      <w:pPr>
        <w:spacing w:before="0" w:after="120" w:line="276" w:lineRule="auto"/>
      </w:pPr>
      <w:r>
        <w:rPr>
          <w:rFonts w:ascii="Calibri" w:hAnsi="Calibri"/>
          <w:color w:val="2D3748"/>
          <w:sz w:val="21"/>
        </w:rPr>
        <w:t>During experimentation, we discovered that several models had significantly suboptimal default hyperparameters. Systematic sweeps revealed the following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Original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Fixed</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Impact</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Loss stuck at 0.693 → converges. Recall 9×</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Too high for Adam → diverges</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Alpha (domain balance)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Over-weighted 7× more movie interactions</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Epochs</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Under-trained. Modest improvement (~30%)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 swept)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Architectural ceiling ~0.025. No fix possible</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Optimizer choice dictates lr range. NumPy SGD (MF-BPR) needs lr=0.05 because there is no per-parameter adaptation. Adam-based models (CMF, NCF via RecBole) need lr=0.0005–0.001. Using SGD-appropriate lr with Adam causes divergence and vice versa.</w:t>
            </w:r>
          </w:p>
        </w:tc>
      </w:tr>
    </w:tbl>
    <w:p>
      <w:pPr>
        <w:pStyle w:val="Heading1"/>
        <w:pBdr>
          <w:bottom w:val="single" w:sz="8" w:space="4" w:color="2E7D8C"/>
        </w:pBdr>
        <w:spacing w:before="360" w:after="200" w:line="276" w:lineRule="auto"/>
      </w:pPr>
      <w:r>
        <w:rPr>
          <w:rFonts w:ascii="Calibri" w:hAnsi="Calibri"/>
          <w:color w:val="1B2A4A"/>
        </w:rPr>
        <w:t>6. Discussion</w:t>
      </w:r>
    </w:p>
    <w:p>
      <w:pPr>
        <w:pStyle w:val="Heading2"/>
        <w:spacing w:before="280" w:after="160" w:line="276" w:lineRule="auto"/>
      </w:pPr>
      <w:r>
        <w:rPr>
          <w:rFonts w:ascii="Calibri" w:hAnsi="Calibri"/>
          <w:color w:val="3D5A80"/>
        </w:rPr>
        <w:t>6.1 Routing Decision Rule</w:t>
      </w:r>
    </w:p>
    <w:p>
      <w:pPr>
        <w:spacing w:before="0" w:after="120" w:line="276" w:lineRule="auto"/>
      </w:pPr>
      <w:r>
        <w:rPr>
          <w:rFonts w:ascii="Calibri" w:hAnsi="Calibri"/>
          <w:color w:val="2D3748"/>
          <w:sz w:val="21"/>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pPr>
        <w:jc w:val="center"/>
      </w:pPr>
      <w:r>
        <w:drawing>
          <wp:inline xmlns:a="http://schemas.openxmlformats.org/drawingml/2006/main" xmlns:pic="http://schemas.openxmlformats.org/drawingml/2006/picture">
            <wp:extent cx="5029200" cy="3469758"/>
            <wp:docPr id="39" name="Picture 39"/>
            <wp:cNvGraphicFramePr>
              <a:graphicFrameLocks noChangeAspect="1"/>
            </wp:cNvGraphicFramePr>
            <a:graphic>
              <a:graphicData uri="http://schemas.openxmlformats.org/drawingml/2006/picture">
                <pic:pic>
                  <pic:nvPicPr>
                    <pic:cNvPr id="0" name="routing_rule.png"/>
                    <pic:cNvPicPr/>
                  </pic:nvPicPr>
                  <pic:blipFill>
                    <a:blip r:embed="rId47"/>
                    <a:stretch>
                      <a:fillRect/>
                    </a:stretch>
                  </pic:blipFill>
                  <pic:spPr>
                    <a:xfrm>
                      <a:off x="0" y="0"/>
                      <a:ext cx="5029200" cy="3469758"/>
                    </a:xfrm>
                    <a:prstGeom prst="rect"/>
                  </pic:spPr>
                </pic:pic>
              </a:graphicData>
            </a:graphic>
          </wp:inline>
        </w:drawing>
      </w:r>
    </w:p>
    <w:p>
      <w:pPr>
        <w:jc w:val="center"/>
        <w:spacing w:before="30" w:after="120" w:line="276" w:lineRule="auto"/>
      </w:pPr>
      <w:r>
        <w:rPr>
          <w:rFonts w:ascii="Calibri" w:hAnsi="Calibri"/>
          <w:i/>
          <w:color w:val="64748B"/>
          <w:sz w:val="18"/>
        </w:rPr>
        <w:t>Figure 31: Model Routing Decision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 State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Recommended 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Justification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0 games, rich movies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EMCDR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 EMCDR best CDR at cold-start (global MLP works without game edges)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1–2 games, rich movies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PTUPCDR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 few-shot blend activates with 1+ game edge; L8: cooc +13%</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3–9 games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 best LLO base model; L8: cooc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10+ games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L2–L4: LightGCN dominates with sufficient game history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Niche / unpopular items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SBERT-CDR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L7: SBERT 9× on niche items; L8: cooc provides behavioral anchor</w:t>
            </w:r>
          </w:p>
        </w:tc>
      </w:tr>
    </w:tbl>
    <w:p>
      <w:pPr>
        <w:pStyle w:val="Heading2"/>
        <w:spacing w:before="280" w:after="160" w:line="276" w:lineRule="auto"/>
      </w:pPr>
      <w:r>
        <w:rPr>
          <w:rFonts w:ascii="Calibri" w:hAnsi="Calibri"/>
          <w:color w:val="3D5A80"/>
        </w:rPr>
        <w:t>6.2 Key Insights</w:t>
      </w:r>
    </w:p>
    <w:p>
      <w:pPr>
        <w:spacing w:before="0" w:after="120" w:line="276" w:lineRule="auto"/>
      </w:pPr>
      <w:r>
        <w:rPr>
          <w:rFonts w:ascii="Calibri" w:hAnsi="Calibri"/>
          <w:b/>
          <w:color w:val="1B2A4A"/>
          <w:sz w:val="21"/>
        </w:rPr>
        <w:t xml:space="preserve">Overlap is the critical variable for CDR: </w:t>
      </w:r>
      <w:r>
        <w:rPr>
          <w:rFonts w:ascii="Calibri" w:hAnsi="Calibri"/>
          <w:color w:val="2D3748"/>
          <w:sz w:val="21"/>
        </w:rPr>
        <w:t>The difference between L2 (5.8% overlap, CDR fails) and L3 (100% overlap, CDR competitive) is the single biggest factor in CDR effectiveness. Without overlap users, the mapping function has no training signal.</w:t>
      </w:r>
    </w:p>
    <w:p>
      <w:pPr>
        <w:spacing w:before="0" w:after="120" w:line="276" w:lineRule="auto"/>
      </w:pPr>
      <w:r>
        <w:rPr>
          <w:rFonts w:ascii="Calibri" w:hAnsi="Calibri"/>
          <w:b/>
          <w:color w:val="1B2A4A"/>
          <w:sz w:val="21"/>
        </w:rPr>
        <w:t xml:space="preserve">CDR's value is regime-specific: </w:t>
      </w:r>
      <w:r>
        <w:rPr>
          <w:rFonts w:ascii="Calibri" w:hAnsi="Calibri"/>
          <w:color w:val="2D3748"/>
          <w:sz w:val="21"/>
        </w:rPr>
        <w:t>CDR adds the most value at cold-start (L6: 4× over LightGCN) and diminishes as game history grows. With 10+ game interactions, LightGCN's graph convolution captures user preference more effectively than cross-domain transfer.</w:t>
      </w:r>
    </w:p>
    <w:p>
      <w:pPr>
        <w:spacing w:before="0" w:after="120" w:line="276" w:lineRule="auto"/>
      </w:pPr>
      <w:r>
        <w:rPr>
          <w:rFonts w:ascii="Calibri" w:hAnsi="Calibri"/>
          <w:b/>
          <w:color w:val="1B2A4A"/>
          <w:sz w:val="21"/>
        </w:rPr>
        <w:t xml:space="preserve">Content and collaborative signals are complementary: </w:t>
      </w:r>
      <w:r>
        <w:rPr>
          <w:rFonts w:ascii="Calibri" w:hAnsi="Calibri"/>
          <w:color w:val="2D3748"/>
          <w:sz w:val="21"/>
        </w:rPr>
        <w:t>SBERT-CDR wins 9× on niche items where collaborative methods fail (L7). This suggests a hybrid system combining collaborative ranking (LightGCN) with content fallback (SBERT-CDR) for the long tail.</w:t>
      </w:r>
    </w:p>
    <w:p>
      <w:pPr>
        <w:spacing w:before="0" w:after="120" w:line="276" w:lineRule="auto"/>
      </w:pPr>
      <w:r>
        <w:rPr>
          <w:rFonts w:ascii="Calibri" w:hAnsi="Calibri"/>
          <w:b/>
          <w:color w:val="1B2A4A"/>
          <w:sz w:val="21"/>
        </w:rPr>
        <w:t xml:space="preserve">Co-occurrence reranking as a universal layer: </w:t>
      </w:r>
      <w:r>
        <w:rPr>
          <w:rFonts w:ascii="Calibri" w:hAnsi="Calibri"/>
          <w:color w:val="2D3748"/>
          <w:sz w:val="21"/>
        </w:rPr>
        <w:t>A training-free, item-level behavioral transfer signal (cooc) improves every model on LLO and rescues single-domain models at cold-start. Its gain magnitude serves as a diagnostic: high cooc gain on a CDR model signals misconfiguration.</w:t>
      </w:r>
    </w:p>
    <w:p>
      <w:pPr>
        <w:spacing w:before="0" w:after="120" w:line="276" w:lineRule="auto"/>
      </w:pPr>
      <w:r>
        <w:rPr>
          <w:rFonts w:ascii="Calibri" w:hAnsi="Calibri"/>
          <w:b/>
          <w:color w:val="1B2A4A"/>
          <w:sz w:val="21"/>
        </w:rPr>
        <w:t xml:space="preserve">Hyperparameters can mask architectural conclusions: </w:t>
      </w:r>
      <w:r>
        <w:rPr>
          <w:rFonts w:ascii="Calibri" w:hAnsi="Calibri"/>
          <w:color w:val="2D3748"/>
          <w:sz w:val="21"/>
        </w:rPr>
        <w:t>CMF appeared weak (0.012) until we discovered lr/alpha were wrong (0.040 when fixed). EMCDR's cooc gain (+70%) appeared to validate the cooc layer but was actually masking a broken CMF baseline. Always tune before concluding.</w:t>
      </w:r>
    </w:p>
    <w:p>
      <w:pPr>
        <w:pStyle w:val="Heading1"/>
        <w:pBdr>
          <w:bottom w:val="single" w:sz="8" w:space="4" w:color="2E7D8C"/>
        </w:pBdr>
        <w:spacing w:before="360" w:after="200" w:line="276" w:lineRule="auto"/>
      </w:pPr>
      <w:r>
        <w:rPr>
          <w:rFonts w:ascii="Calibri" w:hAnsi="Calibri"/>
          <w:color w:val="1B2A4A"/>
        </w:rPr>
        <w:t>7. System Design</w:t>
      </w:r>
    </w:p>
    <w:p>
      <w:pPr>
        <w:spacing w:before="0" w:after="120" w:line="276" w:lineRule="auto"/>
      </w:pPr>
      <w:r>
        <w:rPr>
          <w:rFonts w:ascii="Calibri" w:hAnsi="Calibri"/>
          <w:color w:val="2D3748"/>
          <w:sz w:val="21"/>
        </w:rPr>
        <w:t>Beyond the experimental benchmarks, we built a full-stack demonstration system that brings the research findings to life as an interactive web application. The system serves recommendations from all 9 models simultaneously, allowing users to compare collaborative, cross-domain, and content-based approaches side by side.</w:t>
      </w:r>
    </w:p>
    <w:p>
      <w:pPr>
        <w:pStyle w:val="Heading2"/>
        <w:spacing w:before="280" w:after="160" w:line="276" w:lineRule="auto"/>
      </w:pPr>
      <w:r>
        <w:rPr>
          <w:rFonts w:ascii="Calibri" w:hAnsi="Calibri"/>
          <w:color w:val="3D5A80"/>
        </w:rPr>
        <w:t>7.1 High-Level Architecture</w:t>
      </w:r>
    </w:p>
    <w:p>
      <w:pPr>
        <w:spacing w:before="0" w:after="120" w:line="276" w:lineRule="auto"/>
      </w:pPr>
      <w:r>
        <w:rPr>
          <w:rFonts w:ascii="Calibri" w:hAnsi="Calibri"/>
          <w:color w:val="2D3748"/>
          <w:sz w:val="21"/>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pPr>
        <w:jc w:val="center"/>
      </w:pPr>
      <w:r>
        <w:drawing>
          <wp:inline xmlns:a="http://schemas.openxmlformats.org/drawingml/2006/main" xmlns:pic="http://schemas.openxmlformats.org/drawingml/2006/picture">
            <wp:extent cx="4572000" cy="3709358"/>
            <wp:docPr id="40" name="Picture 40"/>
            <wp:cNvGraphicFramePr>
              <a:graphicFrameLocks noChangeAspect="1"/>
            </wp:cNvGraphicFramePr>
            <a:graphic>
              <a:graphicData uri="http://schemas.openxmlformats.org/drawingml/2006/picture">
                <pic:pic>
                  <pic:nvPicPr>
                    <pic:cNvPr id="0" name="system_architecture.png"/>
                    <pic:cNvPicPr/>
                  </pic:nvPicPr>
                  <pic:blipFill>
                    <a:blip r:embed="rId48"/>
                    <a:stretch>
                      <a:fillRect/>
                    </a:stretch>
                  </pic:blipFill>
                  <pic:spPr>
                    <a:xfrm>
                      <a:off x="0" y="0"/>
                      <a:ext cx="4572000" cy="3709358"/>
                    </a:xfrm>
                    <a:prstGeom prst="rect"/>
                  </pic:spPr>
                </pic:pic>
              </a:graphicData>
            </a:graphic>
          </wp:inline>
        </w:drawing>
      </w:r>
    </w:p>
    <w:p>
      <w:pPr>
        <w:jc w:val="center"/>
        <w:spacing w:before="30" w:after="120" w:line="276" w:lineRule="auto"/>
      </w:pPr>
      <w:r>
        <w:rPr>
          <w:rFonts w:ascii="Calibri" w:hAnsi="Calibri"/>
          <w:i/>
          <w:color w:val="64748B"/>
          <w:sz w:val="18"/>
        </w:rPr>
        <w:t>Figure 32: High-level system architecture — three-tier design with in-memory embedding store</w:t>
      </w:r>
    </w:p>
    <w:p>
      <w:pPr>
        <w:spacing w:before="0" w:after="120" w:line="276" w:lineRule="auto"/>
      </w:pPr>
      <w:r>
        <w:rPr>
          <w:rFonts w:ascii="Calibri" w:hAnsi="Calibri"/>
          <w:color w:val="2D3748"/>
          <w:sz w:val="21"/>
        </w:rPr>
        <w:t>The in-memory store holds 7 model embedding matrices (LightGCN games/movies, EMCDR, PTUPCDR, NCF, SBERT content embeddings, and co-occurrence matrices) totaling approximately 300MB. All scoring is performed as dot products between user and item embeddings, enabling real-time recommendation generation across all 9 rows.</w:t>
      </w:r>
    </w:p>
    <w:p>
      <w:pPr>
        <w:pStyle w:val="Heading2"/>
        <w:spacing w:before="280" w:after="160" w:line="276" w:lineRule="auto"/>
      </w:pPr>
      <w:r>
        <w:rPr>
          <w:rFonts w:ascii="Calibri" w:hAnsi="Calibri"/>
          <w:color w:val="3D5A80"/>
        </w:rPr>
        <w:t>7.2 Recommendation Flow</w:t>
      </w:r>
    </w:p>
    <w:p>
      <w:pPr>
        <w:spacing w:before="0" w:after="120" w:line="276" w:lineRule="auto"/>
      </w:pPr>
      <w:r>
        <w:rPr>
          <w:rFonts w:ascii="Calibri" w:hAnsi="Calibri"/>
          <w:color w:val="2D3748"/>
          <w:sz w:val="21"/>
        </w:rPr>
        <w:t>When a user requests recommendations, the HybridRecommender generates 9 parallel recommendation rows — 5 for games (purple lanes) and 4 for movies (blue lanes). Each row uses a different model or model combination, directly reflecting the experimental findings from Lessons 2–8.</w:t>
      </w:r>
    </w:p>
    <w:p>
      <w:pPr>
        <w:jc w:val="center"/>
      </w:pPr>
      <w:r>
        <w:drawing>
          <wp:inline xmlns:a="http://schemas.openxmlformats.org/drawingml/2006/main" xmlns:pic="http://schemas.openxmlformats.org/drawingml/2006/picture">
            <wp:extent cx="4572000" cy="3508744"/>
            <wp:docPr id="41" name="Picture 41"/>
            <wp:cNvGraphicFramePr>
              <a:graphicFrameLocks noChangeAspect="1"/>
            </wp:cNvGraphicFramePr>
            <a:graphic>
              <a:graphicData uri="http://schemas.openxmlformats.org/drawingml/2006/picture">
                <pic:pic>
                  <pic:nvPicPr>
                    <pic:cNvPr id="0" name="recommendation_flow.png"/>
                    <pic:cNvPicPr/>
                  </pic:nvPicPr>
                  <pic:blipFill>
                    <a:blip r:embed="rId49"/>
                    <a:stretch>
                      <a:fillRect/>
                    </a:stretch>
                  </pic:blipFill>
                  <pic:spPr>
                    <a:xfrm>
                      <a:off x="0" y="0"/>
                      <a:ext cx="4572000" cy="3508744"/>
                    </a:xfrm>
                    <a:prstGeom prst="rect"/>
                  </pic:spPr>
                </pic:pic>
              </a:graphicData>
            </a:graphic>
          </wp:inline>
        </w:drawing>
      </w:r>
    </w:p>
    <w:p>
      <w:pPr>
        <w:jc w:val="center"/>
        <w:spacing w:before="30" w:after="120" w:line="276" w:lineRule="auto"/>
      </w:pPr>
      <w:r>
        <w:rPr>
          <w:rFonts w:ascii="Calibri" w:hAnsi="Calibri"/>
          <w:i/>
          <w:color w:val="64748B"/>
          <w:sz w:val="18"/>
        </w:rPr>
        <w:t>Figure 33: Recommendation flow — 9 parallel rows using different model paradigms</w:t>
      </w:r>
    </w:p>
    <w:p>
      <w:pPr>
        <w:spacing w:before="0" w:after="120" w:line="276" w:lineRule="auto"/>
      </w:pPr>
      <w:r>
        <w:rPr>
          <w:rFonts w:ascii="Calibri" w:hAnsi="Calibri"/>
          <w:color w:val="2D3748"/>
          <w:sz w:val="21"/>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pPr>
        <w:pStyle w:val="Heading2"/>
        <w:spacing w:before="280" w:after="160" w:line="276" w:lineRule="auto"/>
      </w:pPr>
      <w:r>
        <w:rPr>
          <w:rFonts w:ascii="Calibri" w:hAnsi="Calibri"/>
          <w:color w:val="3D5A80"/>
        </w:rPr>
        <w:t>7.3 Frontend Architecture</w:t>
      </w:r>
    </w:p>
    <w:p>
      <w:pPr>
        <w:spacing w:before="0" w:after="120" w:line="276" w:lineRule="auto"/>
      </w:pPr>
      <w:r>
        <w:rPr>
          <w:rFonts w:ascii="Calibri" w:hAnsi="Calibri"/>
          <w:color w:val="2D3748"/>
          <w:sz w:val="21"/>
        </w:rPr>
        <w:t>The frontend is a Next.js 14 application with three main pages: a home page with user group selection (Balanced, Movie Heavy, Cold Start, Game Heavy), a recommendations page showing 9 model rows with horizontal card lanes, and an item detail page with star ratings and similar item sections. The domain visual language uses blue for movies and purple for games throughout.</w:t>
      </w:r>
    </w:p>
    <w:p>
      <w:pPr>
        <w:jc w:val="center"/>
      </w:pPr>
      <w:r>
        <w:drawing>
          <wp:inline xmlns:a="http://schemas.openxmlformats.org/drawingml/2006/main" xmlns:pic="http://schemas.openxmlformats.org/drawingml/2006/picture">
            <wp:extent cx="4572000" cy="2799907"/>
            <wp:docPr id="42" name="Picture 42"/>
            <wp:cNvGraphicFramePr>
              <a:graphicFrameLocks noChangeAspect="1"/>
            </wp:cNvGraphicFramePr>
            <a:graphic>
              <a:graphicData uri="http://schemas.openxmlformats.org/drawingml/2006/picture">
                <pic:pic>
                  <pic:nvPicPr>
                    <pic:cNvPr id="0" name="frontend_architecture.png"/>
                    <pic:cNvPicPr/>
                  </pic:nvPicPr>
                  <pic:blipFill>
                    <a:blip r:embed="rId50"/>
                    <a:stretch>
                      <a:fillRect/>
                    </a:stretch>
                  </pic:blipFill>
                  <pic:spPr>
                    <a:xfrm>
                      <a:off x="0" y="0"/>
                      <a:ext cx="4572000" cy="2799907"/>
                    </a:xfrm>
                    <a:prstGeom prst="rect"/>
                  </pic:spPr>
                </pic:pic>
              </a:graphicData>
            </a:graphic>
          </wp:inline>
        </w:drawing>
      </w:r>
    </w:p>
    <w:p>
      <w:pPr>
        <w:jc w:val="center"/>
        <w:spacing w:before="30" w:after="120" w:line="276" w:lineRule="auto"/>
      </w:pPr>
      <w:r>
        <w:rPr>
          <w:rFonts w:ascii="Calibri" w:hAnsi="Calibri"/>
          <w:i/>
          <w:color w:val="64748B"/>
          <w:sz w:val="18"/>
        </w:rPr>
        <w:t>Figure 34: Frontend architecture — page structure and domain visual language</w:t>
      </w:r>
    </w:p>
    <w:p>
      <w:pPr>
        <w:pStyle w:val="Heading2"/>
        <w:spacing w:before="280" w:after="160" w:line="276" w:lineRule="auto"/>
      </w:pPr>
      <w:r>
        <w:rPr>
          <w:rFonts w:ascii="Calibri" w:hAnsi="Calibri"/>
          <w:color w:val="3D5A80"/>
        </w:rPr>
        <w:t>7.4 Refresh Architecture</w:t>
      </w:r>
    </w:p>
    <w:p>
      <w:pPr>
        <w:spacing w:before="0" w:after="120" w:line="276" w:lineRule="auto"/>
      </w:pPr>
      <w:r>
        <w:rPr>
          <w:rFonts w:ascii="Calibri" w:hAnsi="Calibri"/>
          <w:color w:val="2D3748"/>
          <w:sz w:val="21"/>
        </w:rPr>
        <w:t>The system implements three refresh tiers to balance latency and freshness. Tier 1 (Instant, ~1ms): Co-occurrence, SBERT, and popularity models require no retraining — a new rating immediately affects recommendations through dict lookups and profile recomputation. Tier 2 (Fast, ~50ms): The in-memory user ratings dict is updated on each API call, so score recomputation reflects the latest state. Tier 3 (Batch, ~40s): LightGCN requires full retraining, scheduled hourly via a background daemon thread with hot-swap of embeddings in the store.</w:t>
      </w:r>
    </w:p>
    <w:p>
      <w:pPr>
        <w:pStyle w:val="Heading2"/>
        <w:spacing w:before="280" w:after="160" w:line="276" w:lineRule="auto"/>
      </w:pPr>
      <w:r>
        <w:rPr>
          <w:rFonts w:ascii="Calibri" w:hAnsi="Calibri"/>
          <w:color w:val="3D5A80"/>
        </w:rPr>
        <w:t>7.5 Key Design Decisions</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Decision</w:t>
            </w:r>
          </w:p>
        </w:tc>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Rationale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Dual item space (SD + CD)</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Single-domain models need compact game-only index; CDR models need unified movie+game index. Linked via Amazon ASIN.</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In-memory embedding store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Dot product scoring is orders of magnitude faster in memory than any DB query. SQLite only for rating persistence.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Cooc as post-processing</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Training-free, model-agnostic, instant refresh. Applied as score bonus to improve every model universally (Lesson 8).</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Hourly LightGCN retrain</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Full retrain takes ~40s. Real-time per-rating retraining is impractical. Cooc/SBERT fill the freshness gap.</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9 rows (5 game + 4 movie)</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row demonstrates a different paradigm: collaborative, CDR, content, behavioral, popularity — the full research spectrum.</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User groups on home page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Different groups activate different strategies (routing rule from Lesson 6), making findings directly interactive.</w:t>
            </w:r>
          </w:p>
        </w:tc>
      </w:tr>
    </w:tbl>
    <w:p>
      <w:pPr>
        <w:pStyle w:val="Heading2"/>
      </w:pPr>
      <w:r>
        <w:t>7.6 Model Selection Rationale</w:t>
      </w:r>
    </w:p>
    <w:p>
      <w:pPr/>
      <w: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pPr>
        <w:pStyle w:val="Heading3"/>
      </w:pPr>
      <w:r>
        <w:t>Primary Row — Segment-Routed Top Picks</w:t>
      </w:r>
    </w:p>
    <w:p>
      <w:pPr/>
      <w:r>
        <w:t>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because it requires no game edges at inference time. All three variants are post-processed with the universal co-occurrence bonus from Lesson 8.</w:t>
      </w:r>
    </w:p>
    <w:p>
      <w:pPr>
        <w:pStyle w:val="Heading3"/>
      </w:pPr>
      <w:r>
        <w:t>Secondary Row — Complementary Paradigm</w:t>
      </w:r>
    </w:p>
    <w:p>
      <w:pPr/>
      <w: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pPr>
        <w:pStyle w:val="Heading3"/>
      </w:pPr>
      <w:r>
        <w:t>Co-occurrence Standalone Row</w:t>
      </w:r>
    </w:p>
    <w:p>
      <w:pPr/>
      <w: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pPr>
        <w:pStyle w:val="Heading3"/>
      </w:pPr>
      <w:r>
        <w:t>Hidden Gems — SBERT-CDR on Bottom-50% Popularity</w:t>
      </w:r>
    </w:p>
    <w:p>
      <w:pPr/>
      <w: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pPr>
        <w:pStyle w:val="Heading3"/>
      </w:pPr>
      <w:r>
        <w:t>Pure SBERT Movie-Similarity Row</w:t>
      </w:r>
    </w:p>
    <w:p>
      <w:pPr/>
      <w: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pPr>
        <w:pStyle w:val="Heading3"/>
      </w:pPr>
      <w:r>
        <w:t>LightGCN Movies and Reverse Co-occurrence</w:t>
      </w:r>
    </w:p>
    <w:p>
      <w:pPr/>
      <w: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pPr>
        <w:pStyle w:val="Heading3"/>
      </w:pPr>
      <w:r>
        <w:t>Popularity Baselines</w:t>
      </w:r>
    </w:p>
    <w:p>
      <w:pPr/>
      <w: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pPr>
        <w:pStyle w:val="Heading3"/>
      </w:pPr>
      <w:r>
        <w:t>Why Co-occurrence Is Applied Universally</w:t>
      </w:r>
    </w:p>
    <w:p>
      <w:pPr/>
      <w: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pPr>
        <w:pStyle w:val="Heading3"/>
      </w:pPr>
      <w:r>
        <w:t>What We Deliberately Did Not Include</w:t>
      </w:r>
    </w:p>
    <w:p>
      <w:pPr/>
      <w: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pPr>
        <w:pStyle w:val="Heading1"/>
        <w:pBdr>
          <w:bottom w:val="single" w:sz="8" w:space="4" w:color="2E7D8C"/>
        </w:pBdr>
        <w:spacing w:before="360" w:after="200" w:line="276" w:lineRule="auto"/>
      </w:pPr>
      <w:r>
        <w:rPr>
          <w:rFonts w:ascii="Calibri" w:hAnsi="Calibri"/>
          <w:color w:val="1B2A4A"/>
        </w:rPr>
        <w:t>8. Conclusion and Future Work</w:t>
      </w:r>
    </w:p>
    <w:p>
      <w:pPr>
        <w:spacing w:before="0" w:after="120" w:line="276" w:lineRule="auto"/>
      </w:pPr>
      <w:r>
        <w:rPr>
          <w:rFonts w:ascii="Calibri" w:hAnsi="Calibri"/>
          <w:color w:val="2D3748"/>
          <w:sz w:val="21"/>
        </w:rPr>
        <w:t>This project demonstrates that cross-domain recommendation from movies to games is effective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pPr>
        <w:spacing w:before="0" w:after="120" w:line="276" w:lineRule="auto"/>
      </w:pPr>
      <w:r>
        <w:rPr>
          <w:rFonts w:ascii="Calibri" w:hAnsi="Calibri"/>
          <w:color w:val="2D3748"/>
          <w:sz w:val="21"/>
        </w:rPr>
        <w:t>The co-occurrence reranking layer is the most practically impactful finding — it requires no training, operates at test time, and consistently improves every model. It also serves as a diagnostic tool for detecting CDR model misconfiguration.</w:t>
      </w:r>
    </w:p>
    <w:p>
      <w:pPr>
        <w:pStyle w:val="Heading2"/>
        <w:spacing w:before="280" w:after="160" w:line="276" w:lineRule="auto"/>
      </w:pPr>
      <w:r>
        <w:rPr>
          <w:rFonts w:ascii="Calibri" w:hAnsi="Calibri"/>
          <w:color w:val="3D5A80"/>
        </w:rPr>
        <w:t>Future Work</w:t>
      </w:r>
    </w:p>
    <w:p>
      <w:pPr>
        <w:pStyle w:val="ListBullet"/>
      </w:pPr>
      <w:r>
        <w:rPr>
          <w:rFonts w:ascii="Calibri" w:hAnsi="Calibri"/>
          <w:color w:val="2D3748"/>
          <w:sz w:val="20"/>
        </w:rPr>
        <w:t>Statistical significance: Run all experiments with 3–5 random seeds and report confidence intervals</w:t>
      </w:r>
    </w:p>
    <w:p>
      <w:pPr>
        <w:pStyle w:val="ListBullet"/>
      </w:pPr>
      <w:r>
        <w:rPr>
          <w:rFonts w:ascii="Calibri" w:hAnsi="Calibri"/>
          <w:color w:val="2D3748"/>
          <w:sz w:val="20"/>
        </w:rPr>
        <w:t>Additional domain pairs: Test the routing rule on other Amazon category pairs (e.g., books→movies, electronics→games)</w:t>
      </w:r>
    </w:p>
    <w:p>
      <w:pPr>
        <w:pStyle w:val="ListBullet"/>
      </w:pPr>
      <w:r>
        <w:rPr>
          <w:rFonts w:ascii="Calibri" w:hAnsi="Calibri"/>
          <w:color w:val="2D3748"/>
          <w:sz w:val="20"/>
        </w:rPr>
        <w:t>Online evaluation: Deploy the routing rule in an A/B test to measure real-world click-through improvements</w:t>
      </w:r>
    </w:p>
    <w:p>
      <w:pPr>
        <w:pStyle w:val="ListBullet"/>
      </w:pPr>
      <w:r>
        <w:rPr>
          <w:rFonts w:ascii="Calibri" w:hAnsi="Calibri"/>
          <w:color w:val="2D3748"/>
          <w:sz w:val="20"/>
        </w:rPr>
        <w:t>Hybrid model: Train a single model that combines LightGCN graph signal with SBERT content and cooc behavioral transfer</w:t>
      </w:r>
    </w:p>
    <w:p>
      <w:pPr>
        <w:pStyle w:val="ListBullet"/>
      </w:pPr>
      <w:r>
        <w:rPr>
          <w:rFonts w:ascii="Calibri" w:hAnsi="Calibri"/>
          <w:color w:val="2D3748"/>
          <w:sz w:val="20"/>
        </w:rPr>
        <w:t>Temporal dynamics: Investigate whether user preferences transfer differently over time (e.g., movie taste from 2020 may not predict 2024 game preferences)</w:t>
      </w:r>
    </w:p>
    <w:p>
      <w:pPr>
        <w:pStyle w:val="Heading1"/>
        <w:pBdr>
          <w:bottom w:val="single" w:sz="8" w:space="4" w:color="2E7D8C"/>
        </w:pBdr>
        <w:spacing w:before="360" w:after="200" w:line="276" w:lineRule="auto"/>
      </w:pPr>
      <w:r>
        <w:rPr>
          <w:rFonts w:ascii="Calibri" w:hAnsi="Calibri"/>
          <w:color w:val="1B2A4A"/>
        </w:rPr>
        <w:t>9. References</w:t>
      </w:r>
    </w:p>
    <w:p>
      <w:pPr>
        <w:spacing w:before="0" w:after="60" w:line="276" w:lineRule="auto"/>
      </w:pPr>
      <w:r>
        <w:rPr>
          <w:rFonts w:ascii="Calibri" w:hAnsi="Calibri"/>
          <w:color w:val="2D3748"/>
          <w:sz w:val="19"/>
        </w:rPr>
        <w:t>[1] He, X., Liao, L., Zhang, H., Nie, L., Hu, X., &amp; Chua, T. S. (2017). Neural collaborative filtering. WWW 2017.</w:t>
      </w:r>
    </w:p>
    <w:p>
      <w:pPr>
        <w:spacing w:before="0" w:after="60" w:line="276" w:lineRule="auto"/>
      </w:pPr>
      <w:r>
        <w:rPr>
          <w:rFonts w:ascii="Calibri" w:hAnsi="Calibri"/>
          <w:color w:val="2D3748"/>
          <w:sz w:val="19"/>
        </w:rPr>
        <w:t>[2] He, X., Deng, K., Wang, X., Li, Y., Zhang, Y., &amp; Wang, M. (2020). LightGCN: Simplifying and powering graph convolution network for recommendation. SIGIR 2020.</w:t>
      </w:r>
    </w:p>
    <w:p>
      <w:pPr>
        <w:spacing w:before="0" w:after="60" w:line="276" w:lineRule="auto"/>
      </w:pPr>
      <w:r>
        <w:rPr>
          <w:rFonts w:ascii="Calibri" w:hAnsi="Calibri"/>
          <w:color w:val="2D3748"/>
          <w:sz w:val="19"/>
        </w:rPr>
        <w:t>[3] Singh, A. P., &amp; Gordon, G. J. (2008). Relational learning via collective matrix factorization. KDD 2008.</w:t>
      </w:r>
    </w:p>
    <w:p>
      <w:pPr>
        <w:spacing w:before="0" w:after="60" w:line="276" w:lineRule="auto"/>
      </w:pPr>
      <w:r>
        <w:rPr>
          <w:rFonts w:ascii="Calibri" w:hAnsi="Calibri"/>
          <w:color w:val="2D3748"/>
          <w:sz w:val="19"/>
        </w:rPr>
        <w:t>[4] Man, T., Shen, H., Jin, X., &amp; Cheng, X. (2017). Cross-domain recommendation: An embedding and mapping approach. IJCAI 2017.</w:t>
      </w:r>
    </w:p>
    <w:p>
      <w:pPr>
        <w:spacing w:before="0" w:after="60" w:line="276" w:lineRule="auto"/>
      </w:pPr>
      <w:r>
        <w:rPr>
          <w:rFonts w:ascii="Calibri" w:hAnsi="Calibri"/>
          <w:color w:val="2D3748"/>
          <w:sz w:val="19"/>
        </w:rPr>
        <w:t>[5] Zhu, Y., Tang, Z., Liu, Y., Zhuang, F., Xie, R., Zhang, X., Lin, L., &amp; He, Q. (2022). Personalized transfer of user preferences for cross-domain recommendation. WSDM 2022.</w:t>
      </w:r>
    </w:p>
    <w:p>
      <w:pPr>
        <w:spacing w:before="0" w:after="60" w:line="276" w:lineRule="auto"/>
      </w:pPr>
      <w:r>
        <w:rPr>
          <w:rFonts w:ascii="Calibri" w:hAnsi="Calibri"/>
          <w:color w:val="2D3748"/>
          <w:sz w:val="19"/>
        </w:rPr>
        <w:t>[6] Rendle, S., Freudenthaler, C., Gantner, Z., &amp; Schmidt-Thieme, L. (2009). BPR: Bayesian personalized ranking from implicit feedback. UAI 2009.</w:t>
      </w:r>
    </w:p>
    <w:p>
      <w:pPr>
        <w:spacing w:before="0" w:after="60" w:line="276" w:lineRule="auto"/>
      </w:pPr>
      <w:r>
        <w:rPr>
          <w:rFonts w:ascii="Calibri" w:hAnsi="Calibri"/>
          <w:color w:val="2D3748"/>
          <w:sz w:val="19"/>
        </w:rPr>
        <w:t>[7] Reimers, N., &amp; Gurevych, I. (2019). Sentence-BERT: Sentence embeddings using Siamese BERT-networks. EMNLP 2019.</w:t>
      </w:r>
    </w:p>
    <w:p>
      <w:pPr>
        <w:spacing w:before="0" w:after="60" w:line="276" w:lineRule="auto"/>
      </w:pPr>
      <w:r>
        <w:rPr>
          <w:rFonts w:ascii="Calibri" w:hAnsi="Calibri"/>
          <w:color w:val="2D3748"/>
          <w:sz w:val="19"/>
        </w:rPr>
        <w:t>[8] Hou, Y., Li, J., He, Z., Yan, A., Chen, X., &amp; McAuley, J. (2024). Bridging language and items for retrieval and recommendation. arXiv preprint. (Amazon Reviews 2023 dataset)</w:t>
      </w:r>
    </w:p>
    <w:sectPr w:rsidR="00FC693F" w:rsidRPr="0006063C" w:rsidSect="00034616">
      <w:headerReference w:type="default" r:id="rId51"/>
      <w:footerReference w:type="default" r:id="rId5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Calibri" w:hAnsi="Calibri"/>
        <w:color w:val="64748B"/>
        <w:sz w:val="16"/>
      </w:rPr>
      <w:t xml:space="preserve">Page </w:t>
    </w:r>
    <w:r>
      <w:rPr>
        <w:sz w:val="16"/>
        <w:color w:val="64748B"/>
      </w:rPr>
      <w:fldChar w:fldCharType="begin"/>
    </w:r>
    <w:r>
      <w:rPr>
        <w:sz w:val="16"/>
        <w:color w:val="64748B"/>
      </w:rPr>
      <w:instrText xml:space="preserve"> PAGE </w:instrText>
    </w:r>
    <w:r>
      <w:rPr>
        <w:sz w:val="16"/>
        <w:color w:val="64748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2E7D8C"/>
      </w:pBdr>
    </w:pPr>
    <w:r>
      <w:rPr>
        <w:rFonts w:ascii="Calibri" w:hAnsi="Calibri"/>
        <w:i/>
        <w:color w:val="64748B"/>
        <w:sz w:val="16"/>
      </w:rPr>
      <w:t>Cross-Domain Recommender System: Movies →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5A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eader" Target="header1.xm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