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9AC6" w14:textId="77777777" w:rsidR="00C60C22" w:rsidRDefault="00C60C22">
      <w:pPr>
        <w:spacing w:after="120" w:line="324" w:lineRule="auto"/>
        <w:rPr>
          <w:rFonts w:ascii="Arial" w:eastAsia="Arial" w:hAnsi="Arial" w:cs="Arial"/>
          <w:color w:val="191919"/>
          <w:sz w:val="20"/>
          <w:szCs w:val="20"/>
        </w:rPr>
      </w:pPr>
    </w:p>
    <w:p w14:paraId="48BF7ED0" w14:textId="77777777" w:rsidR="00C60C22" w:rsidRDefault="00C60C22">
      <w:pPr>
        <w:spacing w:after="120" w:line="324" w:lineRule="auto"/>
        <w:rPr>
          <w:rFonts w:ascii="Arial" w:eastAsia="Arial" w:hAnsi="Arial" w:cs="Arial"/>
          <w:color w:val="191919"/>
          <w:sz w:val="20"/>
          <w:szCs w:val="20"/>
        </w:rPr>
      </w:pPr>
    </w:p>
    <w:p w14:paraId="7570C614" w14:textId="77777777" w:rsidR="00C60C22" w:rsidRDefault="00C60C22">
      <w:pPr>
        <w:spacing w:after="120" w:line="324" w:lineRule="auto"/>
        <w:rPr>
          <w:rFonts w:ascii="Arial" w:eastAsia="Arial" w:hAnsi="Arial" w:cs="Arial"/>
          <w:color w:val="191919"/>
          <w:sz w:val="20"/>
          <w:szCs w:val="20"/>
        </w:rPr>
      </w:pPr>
    </w:p>
    <w:p w14:paraId="026BE947" w14:textId="77777777" w:rsidR="00C60C22" w:rsidRDefault="00C60C22">
      <w:pPr>
        <w:spacing w:after="120" w:line="324" w:lineRule="auto"/>
        <w:rPr>
          <w:rFonts w:ascii="Arial" w:eastAsia="Arial" w:hAnsi="Arial" w:cs="Arial"/>
          <w:color w:val="191919"/>
          <w:sz w:val="20"/>
          <w:szCs w:val="20"/>
        </w:rPr>
      </w:pPr>
    </w:p>
    <w:p w14:paraId="00E0ED96" w14:textId="77777777" w:rsidR="00C60C22" w:rsidRDefault="00C60C22">
      <w:pPr>
        <w:spacing w:after="120" w:line="324" w:lineRule="auto"/>
        <w:rPr>
          <w:rFonts w:ascii="Arial" w:eastAsia="Arial" w:hAnsi="Arial" w:cs="Arial"/>
          <w:color w:val="191919"/>
          <w:sz w:val="20"/>
          <w:szCs w:val="20"/>
        </w:rPr>
      </w:pPr>
    </w:p>
    <w:p w14:paraId="50074E1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434B947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br/>
        <w:t>Recommender System</w:t>
      </w:r>
    </w:p>
    <w:p w14:paraId="458BE80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Movies → Games</w:t>
      </w:r>
    </w:p>
    <w:p w14:paraId="2351615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040FDF56" w14:textId="77777777" w:rsidR="00C60C22" w:rsidRDefault="00C60C22">
      <w:pPr>
        <w:spacing w:after="120" w:line="324" w:lineRule="auto"/>
        <w:rPr>
          <w:rFonts w:ascii="Arial" w:eastAsia="Arial" w:hAnsi="Arial" w:cs="Arial"/>
          <w:color w:val="191919"/>
          <w:sz w:val="20"/>
          <w:szCs w:val="20"/>
        </w:rPr>
      </w:pPr>
    </w:p>
    <w:p w14:paraId="6FF7977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087ABD6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br/>
        <w:t>using the Amazon Reviews 2023 dataset</w:t>
        <w:br/>
        <w:br/>
        <w:t>Leveraging movie preferences to recommend video games</w:t>
      </w:r>
    </w:p>
    <w:p w14:paraId="67C0AD9F" w14:textId="77777777" w:rsidR="00C60C22" w:rsidRDefault="00000000">
      <w:pPr>
        <w:spacing w:after="120" w:line="324" w:lineRule="auto"/>
        <w:rPr>
          <w:rFonts w:ascii="Arial" w:eastAsia="Arial" w:hAnsi="Arial" w:cs="Arial"/>
          <w:color w:val="191919"/>
          <w:sz w:val="20"/>
          <w:szCs w:val="20"/>
        </w:rPr>
      </w:pPr>
      <w:r>
        <w:br w:type="page"/>
      </w:r>
    </w:p>
    <w:p w14:paraId="347898D9" w14:textId="77777777" w:rsidR="00C60C22" w:rsidRDefault="00000000">
      <w:pPr>
        <w:spacing w:after="120" w:line="324" w:lineRule="auto"/>
        <w:rPr>
          <w:rFonts w:ascii="Arial" w:eastAsia="Arial" w:hAnsi="Arial" w:cs="Arial"/>
          <w:color w:val="191919"/>
          <w:sz w:val="20"/>
          <w:szCs w:val="20"/>
        </w:rPr>
      </w:pPr>
      <w:r>
        <w:rPr>
          <w:rFonts w:ascii="Arial" w:hAnsi="Arial"/>
          <w:sz w:val="20"/>
        </w:rPr>
        <w:lastRenderedPageBreak/>
        <w:t>1. Executive Summary</w:t>
      </w:r>
    </w:p>
    <w:p w14:paraId="118C8D29" w14:textId="77777777" w:rsidR="00C60C22" w:rsidRDefault="00000000">
      <w:pPr>
        <w:spacing w:after="120" w:line="324" w:lineRule="auto"/>
        <w:rPr>
          <w:rFonts w:ascii="Arial" w:eastAsia="Arial" w:hAnsi="Arial" w:cs="Arial"/>
          <w:color w:val="191919"/>
          <w:sz w:val="20"/>
          <w:szCs w:val="20"/>
        </w:rPr>
      </w:pPr>
      <w:r>
        <w:rPr>
          <w:rFonts w:ascii="Arial" w:hAnsi="Arial"/>
          <w:sz w:val="20"/>
        </w:rPr>
        <w:t>2. Introduction</w:t>
      </w:r>
    </w:p>
    <w:p w14:paraId="5810069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2.1 Background and Problem Statement</w:t>
      </w:r>
    </w:p>
    <w:p w14:paraId="79D94DC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2.2 Research Methodology and Experiment Design</w:t>
      </w:r>
    </w:p>
    <w:p w14:paraId="208AC336" w14:textId="77777777" w:rsidR="00C60C22" w:rsidRDefault="00000000">
      <w:pPr>
        <w:spacing w:after="120" w:line="324" w:lineRule="auto"/>
        <w:rPr>
          <w:rFonts w:ascii="Arial" w:eastAsia="Arial" w:hAnsi="Arial" w:cs="Arial"/>
          <w:color w:val="191919"/>
          <w:sz w:val="20"/>
          <w:szCs w:val="20"/>
        </w:rPr>
      </w:pPr>
      <w:r>
        <w:rPr>
          <w:rFonts w:ascii="Arial" w:hAnsi="Arial"/>
          <w:sz w:val="20"/>
        </w:rPr>
        <w:t>3. Data</w:t>
      </w:r>
    </w:p>
    <w:p w14:paraId="066FAD56"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3.1 Data Source</w:t>
      </w:r>
    </w:p>
    <w:p w14:paraId="055970FF"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3.2 Data Pipeline</w:t>
      </w:r>
    </w:p>
    <w:p w14:paraId="5350955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3.3 Data Train/Test Splitting Protocol</w:t>
      </w:r>
    </w:p>
    <w:p w14:paraId="557D247C" w14:textId="77777777" w:rsidR="00C60C22" w:rsidRDefault="00000000">
      <w:pPr>
        <w:spacing w:after="120" w:line="324" w:lineRule="auto"/>
        <w:rPr>
          <w:rFonts w:ascii="Arial" w:eastAsia="Arial" w:hAnsi="Arial" w:cs="Arial"/>
          <w:color w:val="191919"/>
          <w:sz w:val="20"/>
          <w:szCs w:val="20"/>
        </w:rPr>
      </w:pPr>
      <w:r>
        <w:rPr>
          <w:rFonts w:ascii="Arial" w:hAnsi="Arial"/>
          <w:sz w:val="20"/>
        </w:rPr>
        <w:t>4. Methodology</w:t>
      </w:r>
    </w:p>
    <w:p w14:paraId="3CED7D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4.1 Evaluation Protocol</w:t>
      </w:r>
    </w:p>
    <w:p w14:paraId="7DF9D93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 Single Domain Models</w:t>
      </w:r>
    </w:p>
    <w:p w14:paraId="750DF3C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4.2.1 MF-BPR: Matrix Factorization with BPR</w:t>
      </w:r>
    </w:p>
    <w:p w14:paraId="334D33E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4.2.2 NCF (NeuMF): Neural Collaborative Filtering</w:t>
      </w:r>
    </w:p>
    <w:p w14:paraId="33CD7B2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4.2.3 LightGCN: Graph Convolution</w:t>
      </w:r>
    </w:p>
    <w:p w14:paraId="6CF9D3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 Cross Domain Models</w:t>
      </w:r>
    </w:p>
    <w:p w14:paraId="47326FB2"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4.3.1 CMF: Collective Matrix Factorization</w:t>
      </w:r>
    </w:p>
    <w:p w14:paraId="74F3D60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4.3.2 EMCDR: Cross-Domain Embedding Mapping</w:t>
      </w:r>
    </w:p>
    <w:p w14:paraId="4967C17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4.3.3 PTUPCDR: Personalized Transfer with Experts</w:t>
      </w:r>
    </w:p>
    <w:p w14:paraId="2C768931" w14:textId="77777777" w:rsidR="00C60C22" w:rsidRDefault="00000000">
      <w:pPr>
        <w:spacing w:after="120" w:line="324" w:lineRule="auto"/>
        <w:rPr>
          <w:rFonts w:ascii="Arial" w:eastAsia="Arial" w:hAnsi="Arial" w:cs="Arial"/>
          <w:color w:val="191919"/>
          <w:sz w:val="20"/>
          <w:szCs w:val="20"/>
        </w:rPr>
      </w:pPr>
      <w:r>
        <w:rPr>
          <w:rFonts w:ascii="Arial" w:hAnsi="Arial"/>
          <w:sz w:val="20"/>
        </w:rPr>
        <w:t>5. Experiments and Results</w:t>
      </w:r>
    </w:p>
    <w:p w14:paraId="5A79D9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5.1 Lesson 1: Explicit vs Implicit Ranking</w:t>
      </w:r>
    </w:p>
    <w:p w14:paraId="0FA5150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5.2 Lesson 2: Low Overlap Kills CDR</w:t>
      </w:r>
    </w:p>
    <w:p w14:paraId="4B2507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5.3 Lesson 3: Overlap Filtering Rescues CDR</w:t>
      </w:r>
    </w:p>
    <w:p w14:paraId="66A68E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5.4 Lesson 4: Source-Rich / Target-Sparse</w:t>
      </w:r>
    </w:p>
    <w:p w14:paraId="1EBEC18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5.5 Lesson 5: Catalog Sharpening</w:t>
      </w:r>
    </w:p>
    <w:p w14:paraId="17131BD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5.6 Lesson 6: Cold-Start Protocol</w:t>
      </w:r>
    </w:p>
    <w:p w14:paraId="532062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5.7 Lesson 7: Content-Aware CDR (SBERT)</w:t>
      </w:r>
    </w:p>
    <w:p w14:paraId="1C7AF5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5.8 Lesson 8: Co-occurrence Reranking</w:t>
      </w:r>
    </w:p>
    <w:p w14:paraId="709A9FB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5.9 Lessons Recap</w:t>
      </w:r>
    </w:p>
    <w:p w14:paraId="76EE44BC" w14:textId="77777777" w:rsidR="00C60C22" w:rsidRDefault="00000000">
      <w:pPr>
        <w:spacing w:after="120" w:line="324" w:lineRule="auto"/>
        <w:rPr>
          <w:rFonts w:ascii="Arial" w:eastAsia="Arial" w:hAnsi="Arial" w:cs="Arial"/>
          <w:color w:val="191919"/>
          <w:sz w:val="20"/>
          <w:szCs w:val="20"/>
        </w:rPr>
      </w:pPr>
      <w:r>
        <w:t>6. Hyperparameter Tuning</w:t>
      </w:r>
    </w:p>
    <w:p w14:paraId="28D9BB20" w14:textId="77777777" w:rsidR="00C60C22" w:rsidRDefault="00000000">
      <w:pPr>
        <w:spacing w:after="120" w:line="324" w:lineRule="auto"/>
        <w:rPr>
          <w:rFonts w:ascii="Arial" w:eastAsia="Arial" w:hAnsi="Arial" w:cs="Arial"/>
          <w:color w:val="191919"/>
          <w:sz w:val="20"/>
          <w:szCs w:val="20"/>
        </w:rPr>
      </w:pPr>
      <w:r>
        <w:t xml:space="preserve">   6.1 CMF learning rate and α weight</w:t>
      </w:r>
    </w:p>
    <w:p w14:paraId="43EC80D5" w14:textId="77777777" w:rsidR="00C60C22" w:rsidRDefault="00000000">
      <w:pPr>
        <w:spacing w:after="120" w:line="324" w:lineRule="auto"/>
        <w:rPr>
          <w:rFonts w:ascii="Arial" w:eastAsia="Arial" w:hAnsi="Arial" w:cs="Arial"/>
          <w:color w:val="191919"/>
          <w:sz w:val="20"/>
          <w:szCs w:val="20"/>
        </w:rPr>
      </w:pPr>
      <w:r>
        <w:lastRenderedPageBreak/>
        <w:t xml:space="preserve">   6.2 EMCDR co-occurrence interaction</w:t>
      </w:r>
    </w:p>
    <w:p w14:paraId="63174CC9" w14:textId="77777777" w:rsidR="00C60C22" w:rsidRDefault="00000000">
      <w:pPr>
        <w:spacing w:after="120" w:line="324" w:lineRule="auto"/>
        <w:rPr>
          <w:rFonts w:ascii="Arial" w:eastAsia="Arial" w:hAnsi="Arial" w:cs="Arial"/>
          <w:color w:val="191919"/>
          <w:sz w:val="20"/>
          <w:szCs w:val="20"/>
        </w:rPr>
      </w:pPr>
      <w:r>
        <w:t xml:space="preserve">   6.3 LightGCN propagation depth</w:t>
      </w:r>
    </w:p>
    <w:p w14:paraId="0FE999F5" w14:textId="77777777" w:rsidR="00C60C22" w:rsidRDefault="00000000">
      <w:pPr>
        <w:spacing w:after="120" w:line="324" w:lineRule="auto"/>
        <w:rPr>
          <w:rFonts w:ascii="Arial" w:eastAsia="Arial" w:hAnsi="Arial" w:cs="Arial"/>
          <w:color w:val="191919"/>
          <w:sz w:val="20"/>
          <w:szCs w:val="20"/>
        </w:rPr>
      </w:pPr>
      <w:r>
        <w:t xml:space="preserve">   6.4 PTUPCDR expert count and gate temperature</w:t>
      </w:r>
    </w:p>
    <w:p w14:paraId="0FC404CE" w14:textId="77777777" w:rsidR="00C60C22" w:rsidRDefault="00000000">
      <w:pPr>
        <w:spacing w:after="120" w:line="324" w:lineRule="auto"/>
        <w:rPr>
          <w:rFonts w:ascii="Arial" w:eastAsia="Arial" w:hAnsi="Arial" w:cs="Arial"/>
          <w:color w:val="191919"/>
          <w:sz w:val="20"/>
          <w:szCs w:val="20"/>
        </w:rPr>
      </w:pPr>
      <w:r>
        <w:t xml:space="preserve">   6.5 SBERT-CDR source weight</w:t>
      </w:r>
    </w:p>
    <w:p w14:paraId="6DF8FA2C" w14:textId="77777777" w:rsidR="00C60C22" w:rsidRDefault="00000000">
      <w:pPr>
        <w:spacing w:after="120" w:line="324" w:lineRule="auto"/>
        <w:rPr>
          <w:rFonts w:ascii="Arial" w:eastAsia="Arial" w:hAnsi="Arial" w:cs="Arial"/>
          <w:color w:val="191919"/>
          <w:sz w:val="20"/>
          <w:szCs w:val="20"/>
        </w:rPr>
      </w:pPr>
      <w:r>
        <w:rPr>
          <w:rFonts w:ascii="Arial" w:hAnsi="Arial"/>
          <w:sz w:val="20"/>
        </w:rPr>
        <w:t>7. Discussion</w:t>
      </w:r>
    </w:p>
    <w:p w14:paraId="2DCFD9E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7.1 Routing Decision Rule</w:t>
      </w:r>
    </w:p>
    <w:p w14:paraId="19E76BA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7.2 Key Insights</w:t>
      </w:r>
    </w:p>
    <w:p w14:paraId="5E18CADD"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7.3 Limitations and Threats to Validity</w:t>
      </w:r>
    </w:p>
    <w:p w14:paraId="782B762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7.4 Recommendation Rows Design</w:t>
      </w:r>
    </w:p>
    <w:p w14:paraId="36605EEE" w14:textId="77777777" w:rsidR="00C60C22" w:rsidRDefault="00000000">
      <w:pPr>
        <w:spacing w:after="120" w:line="324" w:lineRule="auto"/>
        <w:rPr>
          <w:rFonts w:ascii="Arial" w:eastAsia="Arial" w:hAnsi="Arial" w:cs="Arial"/>
          <w:color w:val="191919"/>
          <w:sz w:val="20"/>
          <w:szCs w:val="20"/>
        </w:rPr>
      </w:pPr>
      <w:r>
        <w:rPr>
          <w:rFonts w:ascii="Arial" w:hAnsi="Arial"/>
          <w:sz w:val="20"/>
        </w:rPr>
        <w:t>8. System Design</w:t>
      </w:r>
    </w:p>
    <w:p w14:paraId="2A26A31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8.1 High-Level Architecture</w:t>
      </w:r>
    </w:p>
    <w:p w14:paraId="274C2A1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8.2 Recommendation Flow</w:t>
      </w:r>
    </w:p>
    <w:p w14:paraId="2FF666D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8.3 Frontend Architecture</w:t>
      </w:r>
    </w:p>
    <w:p w14:paraId="1AD3A3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8.4 Refresh Architecture</w:t>
      </w:r>
    </w:p>
    <w:p w14:paraId="44398F23"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8.5 Key Design Decisions</w:t>
      </w:r>
    </w:p>
    <w:p w14:paraId="6F35134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8.6 Model Selection Rationale</w:t>
      </w:r>
    </w:p>
    <w:p w14:paraId="62312AEF" w14:textId="77777777" w:rsidR="00C60C22" w:rsidRDefault="00000000">
      <w:pPr>
        <w:spacing w:after="120" w:line="324" w:lineRule="auto"/>
        <w:rPr>
          <w:rFonts w:ascii="Arial" w:eastAsia="Arial" w:hAnsi="Arial" w:cs="Arial"/>
          <w:color w:val="191919"/>
          <w:sz w:val="20"/>
          <w:szCs w:val="20"/>
        </w:rPr>
      </w:pPr>
      <w:r>
        <w:rPr>
          <w:rFonts w:ascii="Arial" w:hAnsi="Arial"/>
          <w:sz w:val="20"/>
        </w:rPr>
        <w:t>9. Conclusion and Future Work</w:t>
      </w:r>
    </w:p>
    <w:p w14:paraId="1349102F" w14:textId="77777777" w:rsidR="00C60C22" w:rsidRDefault="00000000">
      <w:pPr>
        <w:spacing w:after="120" w:line="324" w:lineRule="auto"/>
        <w:rPr>
          <w:rFonts w:ascii="Arial" w:eastAsia="Arial" w:hAnsi="Arial" w:cs="Arial"/>
          <w:color w:val="191919"/>
          <w:sz w:val="20"/>
          <w:szCs w:val="20"/>
        </w:rPr>
      </w:pPr>
      <w:r>
        <w:rPr>
          <w:rFonts w:ascii="Arial" w:hAnsi="Arial"/>
          <w:sz w:val="20"/>
        </w:rPr>
        <w:t>10. References</w:t>
      </w:r>
    </w:p>
    <w:p w14:paraId="74FE8A20" w14:textId="77777777" w:rsidR="00C60C22" w:rsidRDefault="00C60C22">
      <w:pPr>
        <w:spacing w:after="120" w:line="324" w:lineRule="auto"/>
        <w:rPr>
          <w:rFonts w:ascii="Arial" w:eastAsia="Arial" w:hAnsi="Arial" w:cs="Arial"/>
          <w:color w:val="191919"/>
          <w:sz w:val="20"/>
          <w:szCs w:val="20"/>
        </w:rPr>
      </w:pPr>
    </w:p>
    <w:p w14:paraId="6405F086" w14:textId="77777777" w:rsidR="00C60C22" w:rsidRDefault="00C60C22">
      <w:pPr>
        <w:spacing w:after="120" w:line="324" w:lineRule="auto"/>
        <w:rPr>
          <w:rFonts w:ascii="Arial" w:eastAsia="Arial" w:hAnsi="Arial" w:cs="Arial"/>
          <w:color w:val="191919"/>
          <w:sz w:val="20"/>
          <w:szCs w:val="20"/>
        </w:rPr>
      </w:pPr>
    </w:p>
    <w:p w14:paraId="52E92B1B" w14:textId="77777777" w:rsidR="00C60C22" w:rsidRDefault="00C60C22">
      <w:pPr>
        <w:spacing w:after="120" w:line="324" w:lineRule="auto"/>
        <w:rPr>
          <w:rFonts w:ascii="Arial" w:eastAsia="Arial" w:hAnsi="Arial" w:cs="Arial"/>
          <w:color w:val="191919"/>
          <w:sz w:val="20"/>
          <w:szCs w:val="20"/>
        </w:rPr>
      </w:pPr>
    </w:p>
    <w:p w14:paraId="56279043" w14:textId="77777777" w:rsidR="00C60C22" w:rsidRDefault="00C60C22">
      <w:pPr>
        <w:spacing w:after="120" w:line="324" w:lineRule="auto"/>
        <w:rPr>
          <w:rFonts w:ascii="Arial" w:eastAsia="Arial" w:hAnsi="Arial" w:cs="Arial"/>
          <w:color w:val="191919"/>
          <w:sz w:val="20"/>
          <w:szCs w:val="20"/>
        </w:rPr>
      </w:pPr>
    </w:p>
    <w:p w14:paraId="46D631EE" w14:textId="77777777" w:rsidR="00C60C22" w:rsidRDefault="00C60C22">
      <w:pPr>
        <w:spacing w:after="120" w:line="324" w:lineRule="auto"/>
        <w:rPr>
          <w:rFonts w:ascii="Arial" w:eastAsia="Arial" w:hAnsi="Arial" w:cs="Arial"/>
          <w:color w:val="191919"/>
          <w:sz w:val="20"/>
          <w:szCs w:val="20"/>
        </w:rPr>
      </w:pPr>
    </w:p>
    <w:p w14:paraId="22465E44" w14:textId="77777777" w:rsidR="00C60C22" w:rsidRDefault="00C60C22">
      <w:pPr>
        <w:spacing w:after="120" w:line="324" w:lineRule="auto"/>
        <w:rPr>
          <w:rFonts w:ascii="Arial" w:eastAsia="Arial" w:hAnsi="Arial" w:cs="Arial"/>
          <w:color w:val="191919"/>
          <w:sz w:val="20"/>
          <w:szCs w:val="20"/>
        </w:rPr>
      </w:pPr>
    </w:p>
    <w:p w14:paraId="009B1246" w14:textId="77777777" w:rsidR="00C60C22" w:rsidRDefault="00C60C22">
      <w:pPr>
        <w:spacing w:after="120" w:line="324" w:lineRule="auto"/>
        <w:rPr>
          <w:rFonts w:ascii="Arial" w:eastAsia="Arial" w:hAnsi="Arial" w:cs="Arial"/>
          <w:color w:val="191919"/>
          <w:sz w:val="20"/>
          <w:szCs w:val="20"/>
        </w:rPr>
      </w:pPr>
    </w:p>
    <w:p w14:paraId="5818CA6A" w14:textId="77777777" w:rsidR="00C60C22" w:rsidRDefault="00C60C22">
      <w:pPr>
        <w:spacing w:after="120" w:line="324" w:lineRule="auto"/>
        <w:rPr>
          <w:rFonts w:ascii="Arial" w:eastAsia="Arial" w:hAnsi="Arial" w:cs="Arial"/>
          <w:color w:val="191919"/>
          <w:sz w:val="20"/>
          <w:szCs w:val="20"/>
        </w:rPr>
      </w:pPr>
    </w:p>
    <w:p w14:paraId="4A1A2D2F" w14:textId="77777777" w:rsidR="00C60C22" w:rsidRDefault="00C60C22">
      <w:pPr>
        <w:spacing w:after="120" w:line="324" w:lineRule="auto"/>
        <w:rPr>
          <w:rFonts w:ascii="Arial" w:eastAsia="Arial" w:hAnsi="Arial" w:cs="Arial"/>
          <w:color w:val="191919"/>
          <w:sz w:val="20"/>
          <w:szCs w:val="20"/>
        </w:rPr>
      </w:pPr>
    </w:p>
    <w:p w14:paraId="69443FDC" w14:textId="77777777" w:rsidR="00C60C22" w:rsidRDefault="00C60C22">
      <w:pPr>
        <w:spacing w:after="120" w:line="324" w:lineRule="auto"/>
        <w:rPr>
          <w:rFonts w:ascii="Arial" w:eastAsia="Arial" w:hAnsi="Arial" w:cs="Arial"/>
          <w:color w:val="191919"/>
          <w:sz w:val="20"/>
          <w:szCs w:val="20"/>
        </w:rPr>
      </w:pPr>
    </w:p>
    <w:p w14:paraId="7A52C850" w14:textId="77777777" w:rsidR="00C60C22" w:rsidRDefault="00C60C22">
      <w:pPr>
        <w:spacing w:after="120" w:line="324" w:lineRule="auto"/>
        <w:rPr>
          <w:rFonts w:ascii="Arial" w:eastAsia="Arial" w:hAnsi="Arial" w:cs="Arial"/>
          <w:color w:val="191919"/>
          <w:sz w:val="20"/>
          <w:szCs w:val="20"/>
        </w:rPr>
      </w:pPr>
    </w:p>
    <w:p w14:paraId="54DBACC2" w14:textId="77777777" w:rsidR="00C60C22" w:rsidRDefault="00C60C22">
      <w:pPr>
        <w:spacing w:after="120" w:line="324" w:lineRule="auto"/>
        <w:rPr>
          <w:rFonts w:ascii="Arial" w:eastAsia="Arial" w:hAnsi="Arial" w:cs="Arial"/>
          <w:color w:val="191919"/>
          <w:sz w:val="20"/>
          <w:szCs w:val="20"/>
        </w:rPr>
      </w:pPr>
    </w:p>
    <w:p w14:paraId="0A7F6685" w14:textId="77777777" w:rsidR="00C60C22" w:rsidRDefault="00C60C22">
      <w:pPr>
        <w:spacing w:after="120" w:line="324" w:lineRule="auto"/>
        <w:rPr>
          <w:rFonts w:ascii="Arial" w:eastAsia="Arial" w:hAnsi="Arial" w:cs="Arial"/>
          <w:color w:val="191919"/>
          <w:sz w:val="20"/>
          <w:szCs w:val="20"/>
        </w:rPr>
      </w:pPr>
    </w:p>
    <w:p w14:paraId="548CC033" w14:textId="77777777" w:rsidR="00C60C22" w:rsidRDefault="00C60C22">
      <w:pPr>
        <w:spacing w:after="120" w:line="324" w:lineRule="auto"/>
        <w:rPr>
          <w:rFonts w:ascii="Arial" w:eastAsia="Arial" w:hAnsi="Arial" w:cs="Arial"/>
          <w:color w:val="191919"/>
          <w:sz w:val="20"/>
          <w:szCs w:val="20"/>
        </w:rPr>
      </w:pPr>
    </w:p>
    <w:p w14:paraId="36B65419" w14:textId="77777777" w:rsidR="00C60C22" w:rsidRDefault="00C60C22">
      <w:pPr>
        <w:spacing w:after="120" w:line="324" w:lineRule="auto"/>
        <w:rPr>
          <w:rFonts w:ascii="Arial" w:eastAsia="Arial" w:hAnsi="Arial" w:cs="Arial"/>
          <w:color w:val="191919"/>
          <w:sz w:val="20"/>
          <w:szCs w:val="20"/>
        </w:rPr>
      </w:pPr>
    </w:p>
    <w:p w14:paraId="0BC50852" w14:textId="77777777" w:rsidR="00C60C22" w:rsidRDefault="00C60C22">
      <w:pPr>
        <w:spacing w:after="120" w:line="324" w:lineRule="auto"/>
        <w:rPr>
          <w:rFonts w:ascii="Arial" w:eastAsia="Arial" w:hAnsi="Arial" w:cs="Arial"/>
          <w:color w:val="191919"/>
          <w:sz w:val="20"/>
          <w:szCs w:val="20"/>
        </w:rPr>
      </w:pPr>
    </w:p>
    <w:p w14:paraId="20DCDEF9" w14:textId="77777777" w:rsidR="00C60C22" w:rsidRDefault="00C60C22">
      <w:pPr>
        <w:spacing w:after="120" w:line="324" w:lineRule="auto"/>
        <w:rPr>
          <w:rFonts w:ascii="Arial" w:eastAsia="Arial" w:hAnsi="Arial" w:cs="Arial"/>
          <w:color w:val="191919"/>
          <w:sz w:val="20"/>
          <w:szCs w:val="20"/>
        </w:rPr>
      </w:pPr>
    </w:p>
    <w:p w14:paraId="5462BE3D" w14:textId="77777777" w:rsidR="00C60C22" w:rsidRDefault="00C60C22">
      <w:pPr>
        <w:spacing w:after="120" w:line="324" w:lineRule="auto"/>
        <w:rPr>
          <w:rFonts w:ascii="Arial" w:eastAsia="Arial" w:hAnsi="Arial" w:cs="Arial"/>
          <w:color w:val="191919"/>
          <w:sz w:val="20"/>
          <w:szCs w:val="20"/>
        </w:rPr>
      </w:pPr>
    </w:p>
    <w:p w14:paraId="6B290472" w14:textId="77777777" w:rsidR="00C60C22" w:rsidRDefault="00C60C22">
      <w:pPr>
        <w:spacing w:after="120" w:line="324" w:lineRule="auto"/>
        <w:rPr>
          <w:rFonts w:ascii="Arial" w:eastAsia="Arial" w:hAnsi="Arial" w:cs="Arial"/>
          <w:color w:val="191919"/>
          <w:sz w:val="20"/>
          <w:szCs w:val="20"/>
        </w:rPr>
      </w:pPr>
    </w:p>
    <w:p w14:paraId="1F9C84E6" w14:textId="77777777" w:rsidR="00C60C22" w:rsidRDefault="00C60C22">
      <w:pPr>
        <w:spacing w:after="120" w:line="324" w:lineRule="auto"/>
        <w:rPr>
          <w:rFonts w:ascii="Arial" w:eastAsia="Arial" w:hAnsi="Arial" w:cs="Arial"/>
          <w:color w:val="191919"/>
          <w:sz w:val="20"/>
          <w:szCs w:val="20"/>
        </w:rPr>
      </w:pPr>
    </w:p>
    <w:p w14:paraId="52A32C38" w14:textId="77777777" w:rsidR="00C60C22" w:rsidRDefault="00C60C22">
      <w:pPr>
        <w:spacing w:after="120" w:line="324" w:lineRule="auto"/>
        <w:rPr>
          <w:rFonts w:ascii="Arial" w:eastAsia="Arial" w:hAnsi="Arial" w:cs="Arial"/>
          <w:color w:val="191919"/>
          <w:sz w:val="20"/>
          <w:szCs w:val="20"/>
        </w:rPr>
      </w:pPr>
    </w:p>
    <w:p w14:paraId="58E430D1" w14:textId="77777777" w:rsidR="00C60C22" w:rsidRDefault="00C60C22">
      <w:pPr>
        <w:spacing w:after="120" w:line="324" w:lineRule="auto"/>
        <w:rPr>
          <w:rFonts w:ascii="Arial" w:eastAsia="Arial" w:hAnsi="Arial" w:cs="Arial"/>
          <w:color w:val="191919"/>
          <w:sz w:val="20"/>
          <w:szCs w:val="20"/>
        </w:rPr>
      </w:pPr>
    </w:p>
    <w:p w14:paraId="45319EE9" w14:textId="77777777" w:rsidR="00C60C22" w:rsidRDefault="00C60C22">
      <w:pPr>
        <w:spacing w:after="120" w:line="324" w:lineRule="auto"/>
        <w:rPr>
          <w:rFonts w:ascii="Arial" w:eastAsia="Arial" w:hAnsi="Arial" w:cs="Arial"/>
          <w:color w:val="191919"/>
          <w:sz w:val="20"/>
          <w:szCs w:val="20"/>
        </w:rPr>
      </w:pPr>
    </w:p>
    <w:p w14:paraId="1BAA3A72" w14:textId="77777777" w:rsidR="00C60C22" w:rsidRDefault="00C60C22">
      <w:pPr>
        <w:spacing w:after="120" w:line="324" w:lineRule="auto"/>
        <w:rPr>
          <w:rFonts w:ascii="Arial" w:eastAsia="Arial" w:hAnsi="Arial" w:cs="Arial"/>
          <w:color w:val="191919"/>
          <w:sz w:val="20"/>
          <w:szCs w:val="20"/>
        </w:rPr>
      </w:pPr>
    </w:p>
    <w:p w14:paraId="6C90ED2B" w14:textId="77777777" w:rsidR="00C60C22" w:rsidRDefault="00C60C22">
      <w:pPr>
        <w:spacing w:after="120" w:line="324" w:lineRule="auto"/>
        <w:rPr>
          <w:rFonts w:ascii="Arial" w:eastAsia="Arial" w:hAnsi="Arial" w:cs="Arial"/>
          <w:color w:val="191919"/>
          <w:sz w:val="20"/>
          <w:szCs w:val="20"/>
        </w:rPr>
      </w:pPr>
    </w:p>
    <w:p w14:paraId="0EE78EF3" w14:textId="77777777" w:rsidR="00C60C22" w:rsidRDefault="00C60C22">
      <w:pPr>
        <w:spacing w:after="120" w:line="324" w:lineRule="auto"/>
        <w:rPr>
          <w:rFonts w:ascii="Arial" w:eastAsia="Arial" w:hAnsi="Arial" w:cs="Arial"/>
          <w:color w:val="191919"/>
          <w:sz w:val="20"/>
          <w:szCs w:val="20"/>
        </w:rPr>
      </w:pPr>
    </w:p>
    <w:p w14:paraId="6463AB36" w14:textId="77777777" w:rsidR="00C60C22" w:rsidRDefault="00C60C22">
      <w:pPr>
        <w:spacing w:after="120" w:line="324" w:lineRule="auto"/>
        <w:rPr>
          <w:rFonts w:ascii="Arial" w:eastAsia="Arial" w:hAnsi="Arial" w:cs="Arial"/>
          <w:color w:val="191919"/>
          <w:sz w:val="20"/>
          <w:szCs w:val="20"/>
        </w:rPr>
      </w:pPr>
    </w:p>
    <w:p w14:paraId="5EAC1387" w14:textId="77777777" w:rsidR="00C60C22" w:rsidRDefault="00C60C22">
      <w:pPr>
        <w:spacing w:after="120" w:line="324" w:lineRule="auto"/>
        <w:rPr>
          <w:rFonts w:ascii="Arial" w:eastAsia="Arial" w:hAnsi="Arial" w:cs="Arial"/>
          <w:color w:val="191919"/>
          <w:sz w:val="20"/>
          <w:szCs w:val="20"/>
        </w:rPr>
      </w:pPr>
    </w:p>
    <w:p w14:paraId="0A7604E1" w14:textId="77777777" w:rsidR="00C60C22" w:rsidRDefault="00C60C22">
      <w:pPr>
        <w:spacing w:after="120" w:line="324" w:lineRule="auto"/>
        <w:rPr>
          <w:rFonts w:ascii="Arial" w:eastAsia="Arial" w:hAnsi="Arial" w:cs="Arial"/>
          <w:color w:val="191919"/>
          <w:sz w:val="20"/>
          <w:szCs w:val="20"/>
        </w:rPr>
      </w:pPr>
    </w:p>
    <w:p w14:paraId="6CA5CF40" w14:textId="77777777" w:rsidR="00C60C22" w:rsidRDefault="00C60C22">
      <w:pPr>
        <w:spacing w:after="120" w:line="324" w:lineRule="auto"/>
        <w:rPr>
          <w:rFonts w:ascii="Arial" w:eastAsia="Arial" w:hAnsi="Arial" w:cs="Arial"/>
          <w:color w:val="191919"/>
          <w:sz w:val="20"/>
          <w:szCs w:val="20"/>
        </w:rPr>
      </w:pPr>
    </w:p>
    <w:p w14:paraId="300CCE33" w14:textId="77777777" w:rsidR="00C60C22" w:rsidRDefault="00C60C22">
      <w:pPr>
        <w:spacing w:after="120" w:line="324" w:lineRule="auto"/>
        <w:rPr>
          <w:rFonts w:ascii="Arial" w:eastAsia="Arial" w:hAnsi="Arial" w:cs="Arial"/>
          <w:color w:val="191919"/>
          <w:sz w:val="20"/>
          <w:szCs w:val="20"/>
        </w:rPr>
      </w:pPr>
    </w:p>
    <w:p w14:paraId="764F4F6B" w14:textId="77777777" w:rsidR="00C60C22" w:rsidRDefault="00C60C22">
      <w:pPr>
        <w:spacing w:after="120" w:line="324" w:lineRule="auto"/>
        <w:rPr>
          <w:rFonts w:ascii="Arial" w:eastAsia="Arial" w:hAnsi="Arial" w:cs="Arial"/>
          <w:color w:val="191919"/>
          <w:sz w:val="20"/>
          <w:szCs w:val="20"/>
        </w:rPr>
      </w:pPr>
    </w:p>
    <w:p w14:paraId="5BA6B45B" w14:textId="77777777" w:rsidR="00C60C22" w:rsidRDefault="00C60C22">
      <w:pPr>
        <w:spacing w:after="120" w:line="324" w:lineRule="auto"/>
        <w:rPr>
          <w:rFonts w:ascii="Arial" w:eastAsia="Arial" w:hAnsi="Arial" w:cs="Arial"/>
          <w:color w:val="191919"/>
          <w:sz w:val="20"/>
          <w:szCs w:val="20"/>
        </w:rPr>
      </w:pPr>
    </w:p>
    <w:p w14:paraId="2561E3E6" w14:textId="77777777" w:rsidR="00C60C22" w:rsidRDefault="00C60C22">
      <w:pPr>
        <w:spacing w:after="120" w:line="324" w:lineRule="auto"/>
        <w:rPr>
          <w:rFonts w:ascii="Arial" w:eastAsia="Arial" w:hAnsi="Arial" w:cs="Arial"/>
          <w:color w:val="191919"/>
          <w:sz w:val="20"/>
          <w:szCs w:val="20"/>
        </w:rPr>
      </w:pPr>
    </w:p>
    <w:p w14:paraId="3770A40E" w14:textId="77777777" w:rsidR="00C60C22" w:rsidRDefault="00C60C22">
      <w:pPr>
        <w:spacing w:after="120" w:line="324" w:lineRule="auto"/>
        <w:rPr>
          <w:rFonts w:ascii="Arial" w:eastAsia="Arial" w:hAnsi="Arial" w:cs="Arial"/>
          <w:color w:val="191919"/>
          <w:sz w:val="20"/>
          <w:szCs w:val="20"/>
        </w:rPr>
      </w:pPr>
    </w:p>
    <w:p w14:paraId="77527B15" w14:textId="77777777" w:rsidR="00C60C22" w:rsidRDefault="00C60C22">
      <w:pPr>
        <w:spacing w:after="120" w:line="324" w:lineRule="auto"/>
        <w:rPr>
          <w:rFonts w:ascii="Arial" w:eastAsia="Arial" w:hAnsi="Arial" w:cs="Arial"/>
          <w:color w:val="191919"/>
          <w:sz w:val="20"/>
          <w:szCs w:val="20"/>
        </w:rPr>
      </w:pPr>
    </w:p>
    <w:p w14:paraId="3248D834" w14:textId="77777777" w:rsidR="00C60C22" w:rsidRDefault="00C60C22">
      <w:pPr>
        <w:spacing w:after="120" w:line="324" w:lineRule="auto"/>
        <w:rPr>
          <w:rFonts w:ascii="Arial" w:eastAsia="Arial" w:hAnsi="Arial" w:cs="Arial"/>
          <w:color w:val="191919"/>
          <w:sz w:val="20"/>
          <w:szCs w:val="20"/>
        </w:rPr>
      </w:pPr>
    </w:p>
    <w:p w14:paraId="2F9B1B3B"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1. Executive Summary</w:t>
      </w:r>
    </w:p>
    <w:p w14:paraId="6C7086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w:t>
        <w:lastRenderedPageBreak/>
        <w:t>LightGCN), cross-domain transfer (CMF, EMCDR, PTUPCDR), and content-based (SBERT, SBERT-CDR) — evaluated head-to-head on six purpose-built data cohorts.</w:t>
      </w:r>
    </w:p>
    <w:p w14:paraId="33D8E4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22D19F46"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5ED80CDB"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CDR models achieved a 4× better Recall@10 than the single-domain baseline LightGCN (0.0067). EMCDR recovered to a Recall@10 of 0.033, while a simple popularity baseline was best-in-class at 0.038.</w:t>
      </w:r>
    </w:p>
    <w:p w14:paraId="217211E4"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3025139F"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196E92A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41FCECFB" w14:textId="77777777" w:rsidR="00C60C22" w:rsidRDefault="00C60C22">
      <w:pPr>
        <w:spacing w:after="120" w:line="324" w:lineRule="auto"/>
        <w:rPr>
          <w:rFonts w:ascii="Arial" w:eastAsia="Arial" w:hAnsi="Arial" w:cs="Arial"/>
          <w:color w:val="191919"/>
          <w:sz w:val="20"/>
          <w:szCs w:val="20"/>
        </w:rPr>
      </w:pPr>
    </w:p>
    <w:p w14:paraId="1F1C2AA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169C4D57" w14:textId="77777777" w:rsidR="00C60C22"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0C12E4D" wp14:editId="7E19FD30">
            <wp:extent cx="4876800" cy="2660073"/>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4876800" cy="2660073"/>
                    </a:xfrm>
                    <a:prstGeom prst="rect">
                      <a:avLst/>
                    </a:prstGeom>
                    <a:ln/>
                  </pic:spPr>
                </pic:pic>
              </a:graphicData>
            </a:graphic>
          </wp:inline>
        </w:drawing>
      </w:r>
    </w:p>
    <w:p w14:paraId="054FB6D6" w14:textId="77777777" w:rsidR="00C60C22" w:rsidRDefault="00C60C22">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C60C22" w14:paraId="1012D289" w14:textId="77777777">
        <w:trPr>
          <w:trHeight w:val="77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D402"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274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409"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52BBF99C"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38F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561D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595C"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C60C22" w14:paraId="35DC170A"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B1B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462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108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C60C22" w14:paraId="328D96ED"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B35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399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6085"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7CE3C455"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2. Introduction</w:t>
      </w:r>
    </w:p>
    <w:p w14:paraId="48EFE09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2.1 Background and Problem Statement</w:t>
      </w:r>
    </w:p>
    <w:p w14:paraId="358820D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42603749"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Market Research</w:t>
      </w:r>
    </w:p>
    <w:p w14:paraId="0035D6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2C6ACE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61303A3" wp14:editId="627F5EF4">
            <wp:extent cx="6349567" cy="2706707"/>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6349567" cy="2706707"/>
                    </a:xfrm>
                    <a:prstGeom prst="rect">
                      <a:avLst/>
                    </a:prstGeom>
                    <a:ln/>
                  </pic:spPr>
                </pic:pic>
              </a:graphicData>
            </a:graphic>
          </wp:inline>
        </w:drawing>
      </w:r>
    </w:p>
    <w:p w14:paraId="188EE967" w14:textId="77777777" w:rsidR="00C60C22"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3D9CD29C" w14:textId="77777777" w:rsidR="00C60C22" w:rsidRDefault="00000000">
      <w:pPr>
        <w:pStyle w:val="Heading3"/>
        <w:spacing w:after="120" w:line="324" w:lineRule="auto"/>
        <w:rPr>
          <w:rFonts w:ascii="Arial" w:eastAsia="Arial" w:hAnsi="Arial" w:cs="Arial"/>
          <w:color w:val="191919"/>
          <w:sz w:val="20"/>
          <w:szCs w:val="20"/>
        </w:rPr>
      </w:pPr>
      <w:bookmarkStart w:id="0" w:name="_an4uxcvno0vk" w:colFirst="0" w:colLast="0"/>
      <w:bookmarkEnd w:id="0"/>
      <w:r>
        <w:rPr>
          <w:rFonts w:ascii="Arial" w:eastAsia="Arial" w:hAnsi="Arial" w:cs="Arial"/>
          <w:color w:val="191919"/>
          <w:sz w:val="20"/>
          <w:szCs w:val="20"/>
        </w:rPr>
        <w:t>Why this matters: the limitations of traditional single domain recommender</w:t>
      </w:r>
    </w:p>
    <w:p w14:paraId="44487B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2BB1B70A" w14:textId="77777777" w:rsidR="00C60C22" w:rsidRDefault="00C60C22">
      <w:pPr>
        <w:spacing w:after="120" w:line="324" w:lineRule="auto"/>
        <w:rPr>
          <w:rFonts w:ascii="Arial" w:eastAsia="Arial" w:hAnsi="Arial" w:cs="Arial"/>
          <w:color w:val="191919"/>
          <w:sz w:val="20"/>
          <w:szCs w:val="20"/>
        </w:rPr>
      </w:pPr>
    </w:p>
    <w:p w14:paraId="5BC7D811"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1CB8F16C"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7E128FA0"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291CF3B3"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Problem statement</w:t>
      </w:r>
    </w:p>
    <w:p w14:paraId="56BDD63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4BCF108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B6A8F35" wp14:editId="5204B28E">
            <wp:extent cx="5486400" cy="31040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486400" cy="3104075"/>
                    </a:xfrm>
                    <a:prstGeom prst="rect">
                      <a:avLst/>
                    </a:prstGeom>
                    <a:ln/>
                  </pic:spPr>
                </pic:pic>
              </a:graphicData>
            </a:graphic>
          </wp:inline>
        </w:drawing>
      </w:r>
    </w:p>
    <w:p w14:paraId="61BA1F7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3C565EA4"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2.2 Research Methodology and Experiment Design</w:t>
      </w:r>
    </w:p>
    <w:p w14:paraId="587992D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4B024294"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1: Model Selection and Infrastructure Setup</w:t>
      </w:r>
    </w:p>
    <w:p w14:paraId="30C0FBC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7687331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3BBEFB1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28B3EB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2"/>
          <w:szCs w:val="22"/>
        </w:rPr>
      </w:pPr>
      <w:r>
        <w:rPr>
          <w:rFonts w:ascii="Arial" w:eastAsia="Arial" w:hAnsi="Arial" w:cs="Arial"/>
          <w:b/>
          <w:bCs/>
          <w:color w:val="191919"/>
          <w:sz w:val="22"/>
          <w:szCs w:val="22"/>
        </w:rPr>
        <w:t>Single-Domain Recommendation (SDR) Baselines:</w:t>
      </w:r>
    </w:p>
    <w:p w14:paraId="196D3C55"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0EB04CB1"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1C7AE48A"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319E4B7D"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20C2CD95"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Cross-Domain </w:t>
      </w:r>
      <w:r>
        <w:rPr>
          <w:rFonts w:ascii="Arial" w:eastAsia="Arial" w:hAnsi="Arial" w:cs="Arial"/>
          <w:b/>
          <w:bCs/>
          <w:color w:val="191919"/>
          <w:sz w:val="22"/>
          <w:szCs w:val="22"/>
        </w:rPr>
        <w:t xml:space="preserve">Recommendation </w:t>
      </w:r>
      <w:r>
        <w:rPr>
          <w:rFonts w:ascii="Arial" w:eastAsia="Arial" w:hAnsi="Arial" w:cs="Arial"/>
          <w:b/>
          <w:bCs/>
          <w:color w:val="191919"/>
          <w:sz w:val="20"/>
          <w:szCs w:val="20"/>
        </w:rPr>
        <w:t>(CDR):</w:t>
      </w:r>
    </w:p>
    <w:p w14:paraId="6C55986E"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2AC5A2D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7B057ECD"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1CDE771C"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1D8C3195"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2656F4C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2"/>
          <w:szCs w:val="22"/>
        </w:rPr>
      </w:pPr>
      <w:r>
        <w:rPr>
          <w:rFonts w:ascii="Arial" w:eastAsia="Arial" w:hAnsi="Arial" w:cs="Arial"/>
          <w:b/>
          <w:bCs/>
          <w:color w:val="191919"/>
          <w:sz w:val="22"/>
          <w:szCs w:val="22"/>
        </w:rPr>
        <w:t>Content-Based and Post-Processing:</w:t>
      </w:r>
    </w:p>
    <w:p w14:paraId="70F8387F"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7D9C5CA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729BE1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612B27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4F9B9B4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1FA20768"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2: Exploratory Benchmarking and the CDR Performance Disappointment</w:t>
      </w:r>
    </w:p>
    <w:p w14:paraId="2602F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5A8680B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7505EE95"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942C44F" wp14:editId="3171D28F">
            <wp:extent cx="2548545" cy="2548545"/>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548545" cy="2548545"/>
                    </a:xfrm>
                    <a:prstGeom prst="rect">
                      <a:avLst/>
                    </a:prstGeom>
                    <a:ln/>
                  </pic:spPr>
                </pic:pic>
              </a:graphicData>
            </a:graphic>
          </wp:inline>
        </w:drawing>
      </w:r>
    </w:p>
    <w:p w14:paraId="7F9ECA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9BC50F1"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3: Revisiting CDR Theory and Finding the Right Data Regime</w:t>
      </w:r>
    </w:p>
    <w:p w14:paraId="1879ED0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p w14:paraId="18868687" w14:textId="77777777" w:rsidR="00C60C22" w:rsidRDefault="00C60C22">
      <w:pPr>
        <w:spacing w:after="120" w:line="324" w:lineRule="auto"/>
        <w:rPr>
          <w:rFonts w:ascii="Arial" w:eastAsia="Arial" w:hAnsi="Arial" w:cs="Arial"/>
          <w:color w:val="191919"/>
          <w:sz w:val="20"/>
          <w:szCs w:val="20"/>
        </w:rPr>
      </w:pPr>
    </w:p>
    <w:tbl>
      <w:tblPr>
        <w:tblStyle w:val="a0"/>
        <w:tblW w:w="9406" w:type="dxa"/>
        <w:jc w:val="center"/>
        <w:tblInd w:w="0" w:type="dxa"/>
        <w:tblLayout w:type="fixed"/>
        <w:tblLook w:val="0400" w:firstRow="0" w:lastRow="0" w:firstColumn="0" w:lastColumn="0" w:noHBand="0" w:noVBand="1"/>
      </w:tblPr>
      <w:tblGrid>
        <w:gridCol w:w="9406"/>
      </w:tblGrid>
      <w:tr w:rsidR="00C60C22" w14:paraId="16457174"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7BE394DF"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Key Insight</w:t>
            </w:r>
          </w:p>
          <w:p w14:paraId="64D339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011E3D85"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4: Discovering Complementary Approaches</w:t>
      </w:r>
    </w:p>
    <w:p w14:paraId="002ACA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04ACDFA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6A772D7" wp14:editId="10ED9978">
            <wp:extent cx="4619943" cy="259871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619943" cy="2598718"/>
                    </a:xfrm>
                    <a:prstGeom prst="rect">
                      <a:avLst/>
                    </a:prstGeom>
                    <a:ln/>
                  </pic:spPr>
                </pic:pic>
              </a:graphicData>
            </a:graphic>
          </wp:inline>
        </w:drawing>
      </w:r>
    </w:p>
    <w:p w14:paraId="770DDC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69E35130"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Phase 5: From Exploration to Structured Lessons</w:t>
      </w:r>
    </w:p>
    <w:p w14:paraId="50AE8DB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537F28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 xml:space="preserve">Movie genres filtering, overlap-user item filtering, and stricter </w:t>
        <w:lastRenderedPageBreak/>
        <w:t>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5040B459" w14:textId="77777777" w:rsidR="00C60C22" w:rsidRDefault="00C60C22">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C60C22" w14:paraId="60A8235A"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D53A6FA"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D39AD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58B631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2D61243D" w14:textId="77777777" w:rsidR="00C60C22"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62551B6" wp14:editId="60BC60AC">
            <wp:simplePos x="0" y="0"/>
            <wp:positionH relativeFrom="column">
              <wp:posOffset>123825</wp:posOffset>
            </wp:positionH>
            <wp:positionV relativeFrom="paragraph">
              <wp:posOffset>119158</wp:posOffset>
            </wp:positionV>
            <wp:extent cx="5486400" cy="702713"/>
            <wp:effectExtent l="0" t="0" r="0" b="0"/>
            <wp:wrapTopAndBottom distT="0" dist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37197" b="37679"/>
                    <a:stretch>
                      <a:fillRect/>
                    </a:stretch>
                  </pic:blipFill>
                  <pic:spPr>
                    <a:xfrm>
                      <a:off x="0" y="0"/>
                      <a:ext cx="5486400" cy="702713"/>
                    </a:xfrm>
                    <a:prstGeom prst="rect">
                      <a:avLst/>
                    </a:prstGeom>
                    <a:ln/>
                  </pic:spPr>
                </pic:pic>
              </a:graphicData>
            </a:graphic>
          </wp:anchor>
        </w:drawing>
      </w:r>
    </w:p>
    <w:p w14:paraId="02B80B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6994A74F"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 xml:space="preserve">3. Data </w:t>
      </w:r>
    </w:p>
    <w:p w14:paraId="06E374B8"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3.1 Data Source</w:t>
      </w:r>
    </w:p>
    <w:p w14:paraId="5F017A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56BFC1C9" w14:textId="77777777" w:rsidR="00C60C22" w:rsidRDefault="00000000">
      <w:pPr>
        <w:pStyle w:val="Heading2"/>
        <w:spacing w:before="240" w:after="160" w:line="324" w:lineRule="auto"/>
        <w:rPr>
          <w:rFonts w:ascii="Arial" w:eastAsia="Arial" w:hAnsi="Arial" w:cs="Arial"/>
          <w:color w:val="191919"/>
          <w:sz w:val="20"/>
          <w:szCs w:val="20"/>
        </w:rPr>
      </w:pPr>
      <w:bookmarkStart w:id="2" w:name="_muak5e37zvc7" w:colFirst="0" w:colLast="0"/>
      <w:bookmarkEnd w:id="2"/>
      <w:r>
        <w:rPr>
          <w:rFonts w:ascii="Arial" w:eastAsia="Arial" w:hAnsi="Arial" w:cs="Arial"/>
          <w:color w:val="191919"/>
          <w:sz w:val="22"/>
          <w:szCs w:val="22"/>
        </w:rPr>
        <w:t>3.2 Data Pipeline</w:t>
      </w:r>
    </w:p>
    <w:p w14:paraId="157A15D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07A56A9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C60C22" w14:paraId="114BAB4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7229B"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E5"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C60C22" w14:paraId="5E6E504D"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C1C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CA9A"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61F9465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330C73FD"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7FCA787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157C58FB"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lastRenderedPageBreak/>
              <w:t>Game Metadata</w:t>
            </w:r>
          </w:p>
        </w:tc>
      </w:tr>
      <w:tr w:rsidR="00C60C22" w14:paraId="6B6DFDF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7FE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8F6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6CBA394"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7D4F6F4E" w14:textId="77777777" w:rsidR="00C60C22" w:rsidRDefault="00000000">
            <w:pPr>
              <w:widowControl w:val="0"/>
              <w:numPr>
                <w:ilvl w:val="0"/>
                <w:numId w:val="3"/>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Xbox Gift Card, PS4 controllers… → removed</w:t>
            </w:r>
          </w:p>
        </w:tc>
      </w:tr>
      <w:tr w:rsidR="00C60C22" w14:paraId="193ECE27"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E072"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7A4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3F0F382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45E91105" w14:textId="77777777" w:rsidR="00C60C22"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C60C22" w14:paraId="45E1B128"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75FC6"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BD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C60C22" w14:paraId="4DBFFE19"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636C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612E"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C60C22" w14:paraId="38CCF44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DD7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37DD"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C60C22" w14:paraId="24F7AE45"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025C"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455C" w14:textId="77777777" w:rsidR="00C60C22"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4CE54A5B" w14:textId="77777777" w:rsidR="00C60C22" w:rsidRDefault="00C60C22">
      <w:pPr>
        <w:pBdr>
          <w:top w:val="nil"/>
          <w:left w:val="nil"/>
          <w:bottom w:val="nil"/>
          <w:right w:val="nil"/>
          <w:between w:val="nil"/>
        </w:pBdr>
        <w:spacing w:after="120" w:line="324" w:lineRule="auto"/>
        <w:rPr>
          <w:rFonts w:ascii="Arial" w:eastAsia="Arial" w:hAnsi="Arial" w:cs="Arial"/>
          <w:color w:val="191919"/>
          <w:sz w:val="20"/>
          <w:szCs w:val="20"/>
        </w:rPr>
      </w:pPr>
    </w:p>
    <w:p w14:paraId="1362753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5D5911C" wp14:editId="5D2CA4DB">
            <wp:extent cx="5486400" cy="4961362"/>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86400" cy="4961362"/>
                    </a:xfrm>
                    <a:prstGeom prst="rect">
                      <a:avLst/>
                    </a:prstGeom>
                    <a:ln/>
                  </pic:spPr>
                </pic:pic>
              </a:graphicData>
            </a:graphic>
          </wp:inline>
        </w:drawing>
      </w:r>
    </w:p>
    <w:p w14:paraId="433808B0"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57B220E0" w14:textId="77777777" w:rsidR="00C60C22" w:rsidRDefault="00C60C22">
      <w:pPr>
        <w:spacing w:after="120" w:line="324" w:lineRule="auto"/>
        <w:jc w:val="center"/>
        <w:rPr>
          <w:rFonts w:ascii="Arial" w:eastAsia="Arial" w:hAnsi="Arial" w:cs="Arial"/>
          <w:i/>
          <w:iCs/>
          <w:color w:val="191919"/>
          <w:sz w:val="20"/>
          <w:szCs w:val="20"/>
        </w:rPr>
      </w:pPr>
    </w:p>
    <w:p w14:paraId="67A42284" w14:textId="77777777" w:rsidR="00C60C22" w:rsidRDefault="00000000">
      <w:pPr>
        <w:spacing w:after="120" w:line="324" w:lineRule="auto"/>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C60C22" w14:paraId="1BECCF08" w14:textId="77777777">
        <w:trPr>
          <w:jc w:val="center"/>
        </w:trPr>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ECD066F" w14:textId="77777777" w:rsidR="00C60C22" w:rsidRDefault="00000000">
            <w:pPr>
              <w:spacing w:after="120" w:line="324" w:lineRule="auto"/>
              <w:jc w:val="center"/>
            </w:pPr>
            <w:r>
              <w:rPr>
                <w:rFonts w:ascii="Arial" w:eastAsia="Arial" w:hAnsi="Arial" w:cs="Arial"/>
                <w:color w:val="191919"/>
                <w:sz w:val="20"/>
                <w:szCs w:val="20"/>
              </w:rPr>
              <w:t>Variant</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3A7C9A0E" w14:textId="77777777" w:rsidR="00C60C22" w:rsidRDefault="00000000">
            <w:pPr>
              <w:spacing w:after="120" w:line="324" w:lineRule="auto"/>
              <w:jc w:val="center"/>
            </w:pPr>
            <w:r>
              <w:rPr>
                <w:rFonts w:ascii="Arial" w:eastAsia="Arial" w:hAnsi="Arial" w:cs="Arial"/>
                <w:color w:val="191919"/>
                <w:sz w:val="20"/>
                <w:szCs w:val="20"/>
              </w:rPr>
              <w:t>Users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92EDABC" w14:textId="77777777" w:rsidR="00C60C22" w:rsidRDefault="00000000">
            <w:pPr>
              <w:spacing w:after="120" w:line="324" w:lineRule="auto"/>
              <w:jc w:val="center"/>
            </w:pPr>
            <w:r>
              <w:rPr>
                <w:rFonts w:ascii="Arial" w:eastAsia="Arial" w:hAnsi="Arial" w:cs="Arial"/>
                <w:color w:val="191919"/>
                <w:sz w:val="20"/>
                <w:szCs w:val="20"/>
              </w:rPr>
              <w:t>Movie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758A3B5B" w14:textId="77777777" w:rsidR="00C60C22" w:rsidRDefault="00000000">
            <w:pPr>
              <w:spacing w:after="120" w:line="324" w:lineRule="auto"/>
              <w:jc w:val="center"/>
            </w:pPr>
            <w:r>
              <w:rPr>
                <w:rFonts w:ascii="Arial" w:eastAsia="Arial" w:hAnsi="Arial" w:cs="Arial"/>
                <w:color w:val="191919"/>
                <w:sz w:val="20"/>
                <w:szCs w:val="20"/>
              </w:rPr>
              <w:t>Game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31402D3" w14:textId="77777777" w:rsidR="00C60C22" w:rsidRDefault="00000000">
            <w:pPr>
              <w:spacing w:after="120" w:line="324" w:lineRule="auto"/>
              <w:jc w:val="center"/>
            </w:pPr>
            <w:r>
              <w:rPr>
                <w:rFonts w:ascii="Arial" w:eastAsia="Arial" w:hAnsi="Arial" w:cs="Arial"/>
                <w:color w:val="191919"/>
                <w:sz w:val="20"/>
                <w:szCs w:val="20"/>
              </w:rPr>
              <w:t>Overlap %</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41BD40BA" w14:textId="77777777" w:rsidR="00C60C22" w:rsidRDefault="00000000">
            <w:pPr>
              <w:spacing w:after="120" w:line="324" w:lineRule="auto"/>
              <w:jc w:val="center"/>
            </w:pPr>
            <w:r>
              <w:rPr>
                <w:rFonts w:ascii="Arial" w:eastAsia="Arial" w:hAnsi="Arial" w:cs="Arial"/>
                <w:color w:val="191919"/>
                <w:sz w:val="20"/>
                <w:szCs w:val="20"/>
              </w:rPr>
              <w:t>Used in</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46904E0" w14:textId="77777777" w:rsidR="00C60C22" w:rsidRDefault="00000000">
            <w:pPr>
              <w:spacing w:after="120" w:line="324" w:lineRule="auto"/>
              <w:jc w:val="center"/>
            </w:pPr>
            <w:r>
              <w:rPr>
                <w:rFonts w:ascii="Arial" w:eastAsia="Arial" w:hAnsi="Arial" w:cs="Arial"/>
                <w:color w:val="191919"/>
                <w:sz w:val="20"/>
                <w:szCs w:val="20"/>
              </w:rPr>
              <w:t>Filter</w:t>
            </w:r>
          </w:p>
        </w:tc>
      </w:tr>
      <w:tr w:rsidR="00C60C22" w14:paraId="0F16A9B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CF2E96" w14:textId="77777777" w:rsidR="00C60C22" w:rsidRDefault="00000000">
            <w:pPr>
              <w:spacing w:after="120" w:line="324" w:lineRule="auto"/>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53B11AD" w14:textId="77777777" w:rsidR="00C60C22" w:rsidRDefault="00000000">
            <w:pPr>
              <w:spacing w:after="120" w:line="324" w:lineRule="auto"/>
              <w:jc w:val="cente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621E3E1" w14:textId="77777777" w:rsidR="00C60C22" w:rsidRDefault="00000000">
            <w:pPr>
              <w:spacing w:after="120" w:line="324" w:lineRule="auto"/>
              <w:jc w:val="cente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2FF3E6" w14:textId="77777777" w:rsidR="00C60C22" w:rsidRDefault="00000000">
            <w:pPr>
              <w:spacing w:after="120" w:line="324" w:lineRule="auto"/>
              <w:jc w:val="cente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AC8B22" w14:textId="77777777" w:rsidR="00C60C22" w:rsidRDefault="00000000">
            <w:pPr>
              <w:spacing w:after="120" w:line="324" w:lineRule="auto"/>
              <w:jc w:val="cente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626341" w14:textId="77777777" w:rsidR="00C60C22" w:rsidRDefault="00000000">
            <w:pPr>
              <w:spacing w:after="120" w:line="324" w:lineRule="auto"/>
              <w:jc w:val="cente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868E87" w14:textId="77777777" w:rsidR="00C60C22" w:rsidRDefault="00000000">
            <w:pPr>
              <w:spacing w:after="120" w:line="324" w:lineRule="auto"/>
              <w:jc w:val="center"/>
            </w:pPr>
            <w:r>
              <w:rPr>
                <w:rFonts w:ascii="Arial" w:eastAsia="Arial" w:hAnsi="Arial" w:cs="Arial"/>
                <w:color w:val="191919"/>
                <w:sz w:val="20"/>
                <w:szCs w:val="20"/>
              </w:rPr>
              <w:t>No k-core</w:t>
            </w:r>
          </w:p>
        </w:tc>
      </w:tr>
      <w:tr w:rsidR="00C60C22" w14:paraId="1B45AA12"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7873D7" w14:textId="77777777" w:rsidR="00C60C22" w:rsidRDefault="00000000">
            <w:pPr>
              <w:spacing w:after="120" w:line="324" w:lineRule="auto"/>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00F411" w14:textId="77777777" w:rsidR="00C60C22" w:rsidRDefault="00000000">
            <w:pPr>
              <w:spacing w:after="120" w:line="324" w:lineRule="auto"/>
              <w:jc w:val="cente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2A01ED9"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CC2940"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573B7D"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920FF0" w14:textId="77777777" w:rsidR="00C60C22" w:rsidRDefault="00000000">
            <w:pPr>
              <w:spacing w:after="120" w:line="324" w:lineRule="auto"/>
              <w:jc w:val="cente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17A48C0" w14:textId="77777777" w:rsidR="00C60C22" w:rsidRDefault="00000000">
            <w:pPr>
              <w:spacing w:after="120" w:line="324" w:lineRule="auto"/>
              <w:jc w:val="center"/>
            </w:pPr>
            <w:r>
              <w:rPr>
                <w:rFonts w:ascii="Arial" w:eastAsia="Arial" w:hAnsi="Arial" w:cs="Arial"/>
                <w:color w:val="191919"/>
                <w:sz w:val="20"/>
                <w:szCs w:val="20"/>
              </w:rPr>
              <w:t>movies≥5, games≥1</w:t>
            </w:r>
          </w:p>
        </w:tc>
      </w:tr>
      <w:tr w:rsidR="00C60C22" w14:paraId="22DCE5EB"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A9A307B" w14:textId="77777777" w:rsidR="00C60C22" w:rsidRDefault="00000000">
            <w:pPr>
              <w:spacing w:after="120" w:line="324" w:lineRule="auto"/>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842C482"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79A9A8" w14:textId="77777777" w:rsidR="00C60C22" w:rsidRDefault="00000000">
            <w:pPr>
              <w:spacing w:after="120" w:line="324" w:lineRule="auto"/>
              <w:jc w:val="cente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A6E8A98"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C7A6A8"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517923" w14:textId="77777777" w:rsidR="00C60C22" w:rsidRDefault="00000000">
            <w:pPr>
              <w:spacing w:after="120" w:line="324" w:lineRule="auto"/>
              <w:jc w:val="cente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A1022B" w14:textId="77777777" w:rsidR="00C60C22" w:rsidRDefault="00000000">
            <w:pPr>
              <w:spacing w:after="120" w:line="324" w:lineRule="auto"/>
              <w:jc w:val="center"/>
            </w:pPr>
            <w:r>
              <w:rPr>
                <w:rFonts w:ascii="Arial" w:eastAsia="Arial" w:hAnsi="Arial" w:cs="Arial"/>
                <w:color w:val="191919"/>
                <w:sz w:val="20"/>
                <w:szCs w:val="20"/>
              </w:rPr>
              <w:t>movies≥10, games≥1</w:t>
            </w:r>
          </w:p>
        </w:tc>
      </w:tr>
      <w:tr w:rsidR="00C60C22" w14:paraId="76E6DAB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F6D27FD" w14:textId="77777777" w:rsidR="00C60C22" w:rsidRDefault="00000000">
            <w:pPr>
              <w:spacing w:after="120" w:line="324" w:lineRule="auto"/>
            </w:pPr>
            <w:r>
              <w:rPr>
                <w:rFonts w:ascii="Arial" w:eastAsia="Arial" w:hAnsi="Arial" w:cs="Arial"/>
                <w:color w:val="191919"/>
                <w:sz w:val="20"/>
                <w:szCs w:val="20"/>
              </w:rPr>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9A3D08D"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84A18A" w14:textId="77777777" w:rsidR="00C60C22" w:rsidRDefault="00000000">
            <w:pPr>
              <w:spacing w:after="120" w:line="324" w:lineRule="auto"/>
              <w:jc w:val="cente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360FB0"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004A3A3" w14:textId="77777777" w:rsidR="00C60C22" w:rsidRDefault="00000000">
            <w:pPr>
              <w:spacing w:after="120" w:line="324" w:lineRule="auto"/>
              <w:jc w:val="cente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066FBF" w14:textId="77777777" w:rsidR="00C60C22" w:rsidRDefault="00000000">
            <w:pPr>
              <w:spacing w:after="120" w:line="324" w:lineRule="auto"/>
              <w:jc w:val="cente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F9A976" w14:textId="77777777" w:rsidR="00C60C22" w:rsidRDefault="00000000">
            <w:pPr>
              <w:spacing w:after="120" w:line="324" w:lineRule="auto"/>
              <w:jc w:val="center"/>
            </w:pPr>
            <w:r>
              <w:rPr>
                <w:rFonts w:ascii="Arial" w:eastAsia="Arial" w:hAnsi="Arial" w:cs="Arial"/>
                <w:color w:val="191919"/>
                <w:sz w:val="20"/>
                <w:szCs w:val="20"/>
              </w:rPr>
              <w:t>movie pop≥10</w:t>
            </w:r>
          </w:p>
        </w:tc>
      </w:tr>
      <w:tr w:rsidR="00C60C22" w14:paraId="0409A09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162CB26" w14:textId="77777777" w:rsidR="00C60C22" w:rsidRDefault="00000000">
            <w:pPr>
              <w:spacing w:after="120" w:line="324" w:lineRule="auto"/>
            </w:pPr>
            <w:r>
              <w:rPr>
                <w:rFonts w:ascii="Arial" w:eastAsia="Arial" w:hAnsi="Arial" w:cs="Arial"/>
                <w:color w:val="191919"/>
                <w:sz w:val="20"/>
                <w:szCs w:val="20"/>
              </w:rPr>
              <w:lastRenderedPageBreak/>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182ABA" w14:textId="77777777" w:rsidR="00C60C22" w:rsidRDefault="00000000">
            <w:pPr>
              <w:spacing w:after="120" w:line="324" w:lineRule="auto"/>
              <w:jc w:val="cente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82BE4B5"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F1C402"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3F92273"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7AB3F37" w14:textId="77777777" w:rsidR="00C60C22" w:rsidRDefault="00000000">
            <w:pPr>
              <w:spacing w:after="120" w:line="324" w:lineRule="auto"/>
              <w:jc w:val="cente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FA4E59D" w14:textId="77777777" w:rsidR="00C60C22" w:rsidRDefault="00000000">
            <w:pPr>
              <w:spacing w:after="120" w:line="324" w:lineRule="auto"/>
              <w:jc w:val="center"/>
            </w:pPr>
            <w:r>
              <w:rPr>
                <w:rFonts w:ascii="Arial" w:eastAsia="Arial" w:hAnsi="Arial" w:cs="Arial"/>
                <w:color w:val="191919"/>
                <w:sz w:val="20"/>
                <w:szCs w:val="20"/>
              </w:rPr>
              <w:t>User split 80/20</w:t>
            </w:r>
          </w:p>
        </w:tc>
      </w:tr>
    </w:tbl>
    <w:p w14:paraId="006176B4" w14:textId="77777777" w:rsidR="00C60C22" w:rsidRDefault="00C60C22">
      <w:pPr>
        <w:pBdr>
          <w:top w:val="nil"/>
          <w:left w:val="nil"/>
          <w:bottom w:val="nil"/>
          <w:right w:val="nil"/>
          <w:between w:val="nil"/>
        </w:pBdr>
        <w:spacing w:after="120" w:line="324" w:lineRule="auto"/>
        <w:ind w:left="360"/>
        <w:rPr>
          <w:rFonts w:ascii="Arial" w:eastAsia="Arial" w:hAnsi="Arial" w:cs="Arial"/>
          <w:color w:val="191919"/>
          <w:sz w:val="20"/>
          <w:szCs w:val="20"/>
        </w:rPr>
      </w:pPr>
    </w:p>
    <w:p w14:paraId="36138852"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3.3 Data Train/Test Splitting Protocol</w:t>
      </w:r>
    </w:p>
    <w:p w14:paraId="26617CB9" w14:textId="77777777" w:rsidR="00C60C22" w:rsidRDefault="00000000">
      <w:pPr>
        <w:spacing w:after="120" w:line="324" w:lineRule="auto"/>
        <w:rPr>
          <w:rFonts w:ascii="Arial" w:eastAsia="Arial" w:hAnsi="Arial" w:cs="Arial"/>
          <w:b/>
          <w:bCs/>
        </w:rPr>
      </w:pPr>
      <w:r>
        <w:rPr>
          <w:rFonts w:ascii="Arial" w:eastAsia="Arial" w:hAnsi="Arial" w:cs="Arial"/>
          <w:b/>
          <w:bCs/>
          <w:color w:val="191919"/>
          <w:sz w:val="20"/>
          <w:szCs w:val="20"/>
        </w:rPr>
        <w:t>Leave-last-out(LLO)</w:t>
      </w:r>
    </w:p>
    <w:p w14:paraId="04FA794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figure below visualises the LLO split: for every user, the most recent interaction is held out as the test item and everything earlier is used for training.</w:t>
      </w:r>
    </w:p>
    <w:p w14:paraId="180BA2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14BD3C8E" wp14:editId="3AC8C2A4">
            <wp:simplePos x="0" y="0"/>
            <wp:positionH relativeFrom="column">
              <wp:posOffset>66676</wp:posOffset>
            </wp:positionH>
            <wp:positionV relativeFrom="paragraph">
              <wp:posOffset>687316</wp:posOffset>
            </wp:positionV>
            <wp:extent cx="5019993" cy="1181682"/>
            <wp:effectExtent l="0" t="0" r="0" b="0"/>
            <wp:wrapTopAndBottom distT="114300" distB="1143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t="42977" r="-1528" b="33089"/>
                    <a:stretch>
                      <a:fillRect/>
                    </a:stretch>
                  </pic:blipFill>
                  <pic:spPr>
                    <a:xfrm>
                      <a:off x="0" y="0"/>
                      <a:ext cx="5019993" cy="1181682"/>
                    </a:xfrm>
                    <a:prstGeom prst="rect">
                      <a:avLst/>
                    </a:prstGeom>
                    <a:ln/>
                  </pic:spPr>
                </pic:pic>
              </a:graphicData>
            </a:graphic>
          </wp:anchor>
        </w:drawing>
      </w:r>
    </w:p>
    <w:p w14:paraId="115AD06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w:t>
      </w:r>
    </w:p>
    <w:p w14:paraId="63F9D0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User-Split cold start protocol</w:t>
      </w:r>
    </w:p>
    <w:p w14:paraId="01C5F9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Lesson 6 (cold-start), we use a user-split protocol: 80% of users train with their full movie and game history, while 20% of users have their game history withheld entirely, testing whether their movie history alone can generate useful game recommendations</w:t>
      </w:r>
    </w:p>
    <w:p w14:paraId="23024A45" w14:textId="77777777" w:rsidR="00C60C22" w:rsidRDefault="00000000">
      <w:pPr>
        <w:spacing w:after="120" w:line="324" w:lineRule="auto"/>
        <w:ind w:left="720"/>
        <w:jc w:val="center"/>
      </w:pPr>
      <w:r>
        <w:rPr>
          <w:rFonts w:ascii="Arial" w:eastAsia="Arial" w:hAnsi="Arial" w:cs="Arial"/>
          <w:b/>
          <w:bCs/>
          <w:noProof/>
          <w:color w:val="191919"/>
          <w:sz w:val="20"/>
          <w:szCs w:val="20"/>
        </w:rPr>
        <w:drawing>
          <wp:inline distT="114300" distB="114300" distL="114300" distR="114300" wp14:anchorId="42DFEA1D" wp14:editId="232540E4">
            <wp:extent cx="2676842" cy="175641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7932" t="12673" r="17299" b="9466"/>
                    <a:stretch>
                      <a:fillRect/>
                    </a:stretch>
                  </pic:blipFill>
                  <pic:spPr>
                    <a:xfrm>
                      <a:off x="0" y="0"/>
                      <a:ext cx="2676842" cy="1756414"/>
                    </a:xfrm>
                    <a:prstGeom prst="rect">
                      <a:avLst/>
                    </a:prstGeom>
                    <a:ln/>
                  </pic:spPr>
                </pic:pic>
              </a:graphicData>
            </a:graphic>
          </wp:inline>
        </w:drawing>
      </w:r>
    </w:p>
    <w:p w14:paraId="29E80293" w14:textId="77777777" w:rsidR="00C60C22" w:rsidRDefault="00000000">
      <w:pPr>
        <w:spacing w:after="120" w:line="324" w:lineRule="auto"/>
        <w:ind w:hanging="360"/>
        <w:jc w:val="center"/>
      </w:pPr>
      <w:r>
        <w:rPr>
          <w:rFonts w:ascii="Arial" w:eastAsia="Arial" w:hAnsi="Arial" w:cs="Arial"/>
          <w:i/>
          <w:iCs/>
          <w:color w:val="191919"/>
          <w:sz w:val="20"/>
          <w:szCs w:val="20"/>
        </w:rPr>
        <w:t>Figure 5.1: Data Splitting Visualization — Cold-Start User-Split</w:t>
      </w:r>
    </w:p>
    <w:p w14:paraId="44B79326"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lastRenderedPageBreak/>
        <w:t>4. Methodology</w:t>
      </w:r>
    </w:p>
    <w:p w14:paraId="5194F9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5B278A5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16F3DDEA"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4.1 Evaluation Protocol</w:t>
      </w:r>
    </w:p>
    <w:p w14:paraId="24952277" w14:textId="77777777" w:rsidR="00C60C22" w:rsidRDefault="00000000">
      <w:pPr>
        <w:spacing w:after="120" w:line="324" w:lineRule="auto"/>
      </w:pPr>
      <w:r>
        <w:rPr>
          <w:rFonts w:ascii="Arial" w:eastAsia="Arial" w:hAnsi="Arial" w:cs="Arial"/>
          <w:color w:val="191919"/>
          <w:sz w:val="20"/>
          <w:szCs w:val="20"/>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0857FB8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3722F3" wp14:editId="49449FFD">
            <wp:extent cx="5486400" cy="324306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486400" cy="3243061"/>
                    </a:xfrm>
                    <a:prstGeom prst="rect">
                      <a:avLst/>
                    </a:prstGeom>
                    <a:ln/>
                  </pic:spPr>
                </pic:pic>
              </a:graphicData>
            </a:graphic>
          </wp:inline>
        </w:drawing>
      </w:r>
    </w:p>
    <w:p w14:paraId="3258809F"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084B17CD" w14:textId="77777777" w:rsidR="00C60C22" w:rsidRDefault="00C60C22">
      <w:pPr>
        <w:spacing w:after="120" w:line="324" w:lineRule="auto"/>
        <w:jc w:val="center"/>
        <w:rPr>
          <w:rFonts w:ascii="Arial" w:eastAsia="Arial" w:hAnsi="Arial" w:cs="Arial"/>
          <w:i/>
          <w:iCs/>
          <w:color w:val="191919"/>
          <w:sz w:val="20"/>
          <w:szCs w:val="20"/>
        </w:rPr>
      </w:pPr>
    </w:p>
    <w:p w14:paraId="43DCC44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Recall@10</w:t>
      </w:r>
      <w:r>
        <w:rPr>
          <w:rFonts w:ascii="Arial" w:eastAsia="Arial" w:hAnsi="Arial" w:cs="Arial"/>
          <w:color w:val="191919"/>
          <w:sz w:val="20"/>
          <w:szCs w:val="20"/>
        </w:rPr>
        <w:t xml:space="preserve"> asks: did the correct item appear anywhere in the top 10? The ranking of the item is not important</w:t>
      </w:r>
    </w:p>
    <w:p w14:paraId="0761AE9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8BA9356" wp14:editId="58B32FB2">
            <wp:extent cx="2276793" cy="1210736"/>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4866" t="6940" r="4381" b="7214"/>
                    <a:stretch>
                      <a:fillRect/>
                    </a:stretch>
                  </pic:blipFill>
                  <pic:spPr>
                    <a:xfrm>
                      <a:off x="0" y="0"/>
                      <a:ext cx="2276793" cy="1210736"/>
                    </a:xfrm>
                    <a:prstGeom prst="rect">
                      <a:avLst/>
                    </a:prstGeom>
                    <a:ln/>
                  </pic:spPr>
                </pic:pic>
              </a:graphicData>
            </a:graphic>
          </wp:inline>
        </w:drawing>
      </w:r>
    </w:p>
    <w:p w14:paraId="4974449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D399741" wp14:editId="556C7F6A">
            <wp:extent cx="3534093" cy="2325714"/>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l="2157" t="1671" r="15226" b="1728"/>
                    <a:stretch>
                      <a:fillRect/>
                    </a:stretch>
                  </pic:blipFill>
                  <pic:spPr>
                    <a:xfrm>
                      <a:off x="0" y="0"/>
                      <a:ext cx="3534093" cy="2325714"/>
                    </a:xfrm>
                    <a:prstGeom prst="rect">
                      <a:avLst/>
                    </a:prstGeom>
                    <a:ln/>
                  </pic:spPr>
                </pic:pic>
              </a:graphicData>
            </a:graphic>
          </wp:inline>
        </w:drawing>
      </w:r>
    </w:p>
    <w:p w14:paraId="0C78AF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NDCG@10</w:t>
      </w:r>
      <w:r>
        <w:rPr>
          <w:rFonts w:ascii="Arial" w:eastAsia="Arial" w:hAnsi="Arial" w:cs="Arial"/>
          <w:color w:val="191919"/>
          <w:sz w:val="20"/>
          <w:szCs w:val="20"/>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0CE036C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2"/>
          <w:szCs w:val="22"/>
        </w:rPr>
        <w:drawing>
          <wp:inline distT="114300" distB="114300" distL="114300" distR="114300" wp14:anchorId="3E60E771" wp14:editId="269B9D0A">
            <wp:extent cx="2553018" cy="1331119"/>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l="4707" t="7789" r="4700" b="8347"/>
                    <a:stretch>
                      <a:fillRect/>
                    </a:stretch>
                  </pic:blipFill>
                  <pic:spPr>
                    <a:xfrm>
                      <a:off x="0" y="0"/>
                      <a:ext cx="2553018" cy="1331119"/>
                    </a:xfrm>
                    <a:prstGeom prst="rect">
                      <a:avLst/>
                    </a:prstGeom>
                    <a:ln/>
                  </pic:spPr>
                </pic:pic>
              </a:graphicData>
            </a:graphic>
          </wp:inline>
        </w:drawing>
      </w:r>
    </w:p>
    <w:p w14:paraId="10A32F5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AE44AF2" wp14:editId="631BF63C">
            <wp:extent cx="2695575" cy="155486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l="16179" t="12467" r="16023" b="17845"/>
                    <a:stretch>
                      <a:fillRect/>
                    </a:stretch>
                  </pic:blipFill>
                  <pic:spPr>
                    <a:xfrm>
                      <a:off x="0" y="0"/>
                      <a:ext cx="2695575" cy="1554860"/>
                    </a:xfrm>
                    <a:prstGeom prst="rect">
                      <a:avLst/>
                    </a:prstGeom>
                    <a:ln/>
                  </pic:spPr>
                </pic:pic>
              </a:graphicData>
            </a:graphic>
          </wp:inline>
        </w:drawing>
      </w:r>
    </w:p>
    <w:p w14:paraId="5F5BE06A" w14:textId="77777777" w:rsidR="00C60C22" w:rsidRDefault="00C60C22">
      <w:pPr>
        <w:spacing w:after="120" w:line="324" w:lineRule="auto"/>
        <w:jc w:val="center"/>
        <w:rPr>
          <w:rFonts w:ascii="Arial" w:eastAsia="Arial" w:hAnsi="Arial" w:cs="Arial"/>
          <w:color w:val="191919"/>
          <w:sz w:val="20"/>
          <w:szCs w:val="20"/>
        </w:rPr>
      </w:pPr>
    </w:p>
    <w:p w14:paraId="62BD2B1B" w14:textId="77777777" w:rsidR="00C60C22" w:rsidRDefault="00000000">
      <w:pPr>
        <w:pStyle w:val="Heading2"/>
        <w:spacing w:before="240" w:after="160" w:line="324" w:lineRule="auto"/>
        <w:rPr>
          <w:rFonts w:ascii="Arial" w:eastAsia="Arial" w:hAnsi="Arial" w:cs="Arial"/>
          <w:color w:val="191919"/>
          <w:sz w:val="20"/>
          <w:szCs w:val="20"/>
        </w:rPr>
      </w:pPr>
      <w:bookmarkStart w:id="3" w:name="_eqa8lphky95u" w:colFirst="0" w:colLast="0"/>
      <w:bookmarkEnd w:id="3"/>
      <w:r>
        <w:rPr>
          <w:rFonts w:ascii="Arial" w:eastAsia="Arial" w:hAnsi="Arial" w:cs="Arial"/>
          <w:color w:val="191919"/>
          <w:sz w:val="22"/>
          <w:szCs w:val="22"/>
        </w:rPr>
        <w:lastRenderedPageBreak/>
        <w:t>4.2 Single Domain Models</w:t>
      </w:r>
    </w:p>
    <w:tbl>
      <w:tblPr>
        <w:tblStyle w:val="a4"/>
        <w:tblW w:w="9406" w:type="dxa"/>
        <w:jc w:val="center"/>
        <w:tblInd w:w="0" w:type="dxa"/>
        <w:tblLayout w:type="fixed"/>
        <w:tblLook w:val="0400" w:firstRow="0" w:lastRow="0" w:firstColumn="0" w:lastColumn="0" w:noHBand="0" w:noVBand="1"/>
      </w:tblPr>
      <w:tblGrid>
        <w:gridCol w:w="9406"/>
      </w:tblGrid>
      <w:tr w:rsidR="00C60C22" w14:paraId="1519094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E2B9A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w:t>
            </w:r>
          </w:p>
          <w:p w14:paraId="39D400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game rating data only. They have no access to movie preferences. Think of them as specialists: they only know about games and recommend games based on what similar gamers have played.</w:t>
            </w:r>
          </w:p>
        </w:tc>
      </w:tr>
    </w:tbl>
    <w:p w14:paraId="7C85FE0C" w14:textId="77777777" w:rsidR="00C60C22" w:rsidRDefault="00C60C22">
      <w:pPr>
        <w:spacing w:after="120" w:line="324" w:lineRule="auto"/>
      </w:pPr>
    </w:p>
    <w:p w14:paraId="5487FB70" w14:textId="13A4CAE2" w:rsidR="00C60C22" w:rsidRPr="00907D75" w:rsidRDefault="00000000" w:rsidP="00907D75">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4.2.1 MF-BPR: Matrix Factorization with Bayesian Personalized Ranking</w:t>
      </w:r>
    </w:p>
    <w:tbl>
      <w:tblPr>
        <w:tblStyle w:val="a5"/>
        <w:tblW w:w="9406" w:type="dxa"/>
        <w:jc w:val="center"/>
        <w:tblInd w:w="0" w:type="dxa"/>
        <w:tblLayout w:type="fixed"/>
        <w:tblLook w:val="0400" w:firstRow="0" w:lastRow="0" w:firstColumn="0" w:lastColumn="0" w:noHBand="0" w:noVBand="1"/>
      </w:tblPr>
      <w:tblGrid>
        <w:gridCol w:w="9406"/>
      </w:tblGrid>
      <w:tr w:rsidR="00C60C22" w14:paraId="144DAE12"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FC5E96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6698F07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5A128387" w14:textId="6718B484" w:rsidR="00907D75" w:rsidRPr="00907D75" w:rsidRDefault="00907D75" w:rsidP="00907D75">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MF-BPR: Architecture</w:t>
      </w:r>
    </w:p>
    <w:p w14:paraId="45C076C5" w14:textId="77777777" w:rsidR="00907D75" w:rsidRDefault="00907D75" w:rsidP="00907D75">
      <w:r>
        <w:t xml:space="preserve">Each user u and item i has a single learnable 64-dim vector, uᵤ, vᵢ </w:t>
      </w:r>
      <w:r>
        <w:rPr>
          <w:rFonts w:ascii="Cambria Math" w:hAnsi="Cambria Math" w:cs="Cambria Math"/>
        </w:rPr>
        <w:t>∈</w:t>
      </w:r>
      <w:r>
        <w:t xml:space="preserve"> </w:t>
      </w:r>
      <w:r>
        <w:rPr>
          <w:rFonts w:ascii="Cambria Math" w:hAnsi="Cambria Math" w:cs="Cambria Math"/>
        </w:rPr>
        <w:t>ℝ</w:t>
      </w:r>
      <w:r>
        <w:t xml:space="preserve">⁶⁴. The score for a (u, i) pair is the dot product s(u, i) = uᵤ · vᵢ. All parameters live in two matrices U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𝒰</w:t>
      </w:r>
      <w:r>
        <w:t xml:space="preserve">|×64) and V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ℐ</w:t>
      </w:r>
      <w:r>
        <w:t>|×64).</w:t>
      </w:r>
    </w:p>
    <w:p w14:paraId="10A8C6F7" w14:textId="77777777" w:rsidR="00907D75" w:rsidRDefault="00907D75">
      <w:pPr>
        <w:spacing w:after="120" w:line="324" w:lineRule="auto"/>
        <w:jc w:val="center"/>
        <w:rPr>
          <w:rFonts w:ascii="Arial" w:eastAsia="Arial" w:hAnsi="Arial" w:cs="Arial"/>
          <w:color w:val="191919"/>
          <w:sz w:val="20"/>
          <w:szCs w:val="20"/>
        </w:rPr>
      </w:pPr>
    </w:p>
    <w:p w14:paraId="55347783" w14:textId="6F43A1F2"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2C25136" wp14:editId="5573DF7F">
            <wp:extent cx="4053840" cy="2584704"/>
            <wp:effectExtent l="0" t="0" r="0" b="635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25"/>
                    <a:srcRect l="1" t="15487" r="4342" b="9025"/>
                    <a:stretch>
                      <a:fillRect/>
                    </a:stretch>
                  </pic:blipFill>
                  <pic:spPr bwMode="auto">
                    <a:xfrm>
                      <a:off x="0" y="0"/>
                      <a:ext cx="4054587" cy="2585180"/>
                    </a:xfrm>
                    <a:prstGeom prst="rect">
                      <a:avLst/>
                    </a:prstGeom>
                    <a:ln>
                      <a:noFill/>
                    </a:ln>
                    <a:extLst>
                      <a:ext uri="{53640926-AAD7-44D8-BBD7-CCE9431645EC}">
                        <a14:shadowObscured xmlns:a14="http://schemas.microsoft.com/office/drawing/2010/main"/>
                      </a:ext>
                    </a:extLst>
                  </pic:spPr>
                </pic:pic>
              </a:graphicData>
            </a:graphic>
          </wp:inline>
        </w:drawing>
      </w:r>
    </w:p>
    <w:p w14:paraId="58D9C258"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35018E13" w14:textId="77777777" w:rsidR="00C60C22" w:rsidRDefault="00000000">
      <w:pPr>
        <w:pStyle w:val="Heading4"/>
        <w:spacing w:before="120" w:after="120" w:line="324" w:lineRule="auto"/>
        <w:rPr>
          <w:rFonts w:ascii="Arial" w:eastAsia="Arial" w:hAnsi="Arial" w:cs="Arial"/>
          <w:color w:val="191919"/>
          <w:sz w:val="20"/>
          <w:szCs w:val="20"/>
        </w:rPr>
      </w:pPr>
      <w:bookmarkStart w:id="4" w:name="_k3l7tm1v6pm" w:colFirst="0" w:colLast="0"/>
      <w:bookmarkEnd w:id="4"/>
      <w:r>
        <w:rPr>
          <w:rFonts w:ascii="Arial" w:eastAsia="Arial" w:hAnsi="Arial" w:cs="Arial"/>
          <w:color w:val="191919"/>
          <w:sz w:val="20"/>
          <w:szCs w:val="20"/>
        </w:rPr>
        <w:lastRenderedPageBreak/>
        <w:t>MF-BPR: Training</w:t>
      </w:r>
    </w:p>
    <w:p w14:paraId="17B43C28" w14:textId="43F631DC" w:rsidR="00C60C22" w:rsidRDefault="00000000">
      <w:pPr>
        <w:spacing w:after="120" w:line="324" w:lineRule="auto"/>
      </w:pPr>
      <w:r>
        <w:rPr>
          <w:rFonts w:ascii="Arial" w:eastAsia="Arial" w:hAnsi="Arial" w:cs="Arial"/>
          <w:color w:val="191919"/>
          <w:sz w:val="20"/>
          <w:szCs w:val="20"/>
        </w:rPr>
        <w:t>We train for multiple epochs on sampled triplets (u, i⁺, i⁻), where i⁺ is an item rated ≥ 4 by u and i⁻ is a uniformly sampled unobserved item. The BPR loss (Equation 1) maximizes the margin uᵤ · vᵢ⁺ − uᵤ · vᵢ⁻ through a log-sigmoid, with L2 regularisation λ.</w:t>
      </w:r>
    </w:p>
    <w:p w14:paraId="29A2726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5ABF389E" wp14:editId="74EBEA66">
            <wp:extent cx="5303520" cy="9880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mfbpr.png"/>
                    <pic:cNvPicPr/>
                  </pic:nvPicPr>
                  <pic:blipFill>
                    <a:blip r:embed="rId26"/>
                    <a:stretch>
                      <a:fillRect/>
                    </a:stretch>
                  </pic:blipFill>
                  <pic:spPr>
                    <a:xfrm>
                      <a:off x="0" y="0"/>
                      <a:ext cx="5303520" cy="988052"/>
                    </a:xfrm>
                    <a:prstGeom prst="rect">
                      <a:avLst/>
                    </a:prstGeom>
                  </pic:spPr>
                </pic:pic>
              </a:graphicData>
            </a:graphic>
          </wp:inline>
        </w:drawing>
      </w:r>
    </w:p>
    <w:p w14:paraId="580C755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1: MF-BPR pairwise ranking loss.</w:t>
      </w:r>
    </w:p>
    <w:p w14:paraId="70FDADB1" w14:textId="75CCEAD2" w:rsidR="00C60C22" w:rsidRDefault="00000000">
      <w:pPr>
        <w:spacing w:after="120" w:line="324" w:lineRule="auto"/>
        <w:rPr>
          <w:rFonts w:ascii="Arial" w:eastAsia="Arial" w:hAnsi="Arial" w:cs="Arial"/>
          <w:color w:val="191919"/>
          <w:sz w:val="20"/>
          <w:szCs w:val="20"/>
        </w:rPr>
      </w:pPr>
      <w:r>
        <w:rPr>
          <w:rFonts w:ascii="Arial" w:hAnsi="Arial" w:cs="Arial"/>
          <w:sz w:val="20"/>
        </w:rPr>
        <w:t>where 𝒟 is the set of training triplets (u, i⁺, i⁻); uᵤ, vᵢ ∈ ℝ⁶⁴ are the learnable user/item vectors; σ(·) is the logistic sigmoid; Θ = {U, V} collects all parameters; λ is the L2 strength</w:t>
      </w:r>
    </w:p>
    <w:p w14:paraId="4EFD5683" w14:textId="56E3A20F" w:rsidR="00C60C22" w:rsidRDefault="00C60C22">
      <w:pPr>
        <w:spacing w:after="120" w:line="324" w:lineRule="auto"/>
        <w:jc w:val="center"/>
        <w:rPr>
          <w:rFonts w:ascii="Arial" w:eastAsia="Arial" w:hAnsi="Arial" w:cs="Arial"/>
          <w:color w:val="191919"/>
          <w:sz w:val="20"/>
          <w:szCs w:val="20"/>
        </w:rPr>
      </w:pPr>
    </w:p>
    <w:p w14:paraId="3F238A03" w14:textId="77777777" w:rsidR="00C60C22" w:rsidRDefault="00000000">
      <w:pPr>
        <w:pStyle w:val="Heading4"/>
        <w:spacing w:before="120" w:after="120" w:line="324" w:lineRule="auto"/>
        <w:rPr>
          <w:rFonts w:ascii="Arial" w:eastAsia="Arial" w:hAnsi="Arial" w:cs="Arial"/>
          <w:color w:val="191919"/>
          <w:sz w:val="20"/>
          <w:szCs w:val="20"/>
        </w:rPr>
      </w:pPr>
      <w:bookmarkStart w:id="5" w:name="_5nkber4q9ola" w:colFirst="0" w:colLast="0"/>
      <w:bookmarkEnd w:id="5"/>
      <w:r>
        <w:rPr>
          <w:rFonts w:ascii="Arial" w:eastAsia="Arial" w:hAnsi="Arial" w:cs="Arial"/>
          <w:color w:val="191919"/>
          <w:sz w:val="20"/>
          <w:szCs w:val="20"/>
        </w:rPr>
        <w:t>MF-BPR: Inference</w:t>
      </w:r>
    </w:p>
    <w:p w14:paraId="517275F9" w14:textId="3447C59E" w:rsidR="00C60C22" w:rsidRDefault="00000000">
      <w:pPr>
        <w:spacing w:after="120" w:line="324" w:lineRule="auto"/>
      </w:pPr>
      <w:r>
        <w:rPr>
          <w:rFonts w:ascii="Arial" w:eastAsia="Arial" w:hAnsi="Arial" w:cs="Arial"/>
          <w:color w:val="191919"/>
          <w:sz w:val="20"/>
          <w:szCs w:val="20"/>
        </w:rPr>
        <w:t>At inference, the scores for user u over the whole catalogue are sᵤ = uᵤ Vᵀ ∈ ℝ^|ℐ|; we return the top-K items. Artifacts are User’s and Item’s 64-dim embeddings.</w:t>
      </w:r>
    </w:p>
    <w:p w14:paraId="2F24A5F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BE4CDE0" wp14:editId="03BADE60">
            <wp:extent cx="4439736" cy="2556771"/>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4439736" cy="2556771"/>
                    </a:xfrm>
                    <a:prstGeom prst="rect">
                      <a:avLst/>
                    </a:prstGeom>
                    <a:ln/>
                  </pic:spPr>
                </pic:pic>
              </a:graphicData>
            </a:graphic>
          </wp:inline>
        </w:drawing>
      </w:r>
    </w:p>
    <w:p w14:paraId="2C003D7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7: MF-BPR inference — dot product between user and item vectors produces ranking scores</w:t>
      </w:r>
    </w:p>
    <w:p w14:paraId="2042C950" w14:textId="7C56DF31" w:rsidR="00C60C22" w:rsidRPr="00907D75"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w:eastAsia="Arial" w:hAnsi="Arial" w:cs="Arial"/>
          <w:color w:val="191919"/>
          <w:sz w:val="20"/>
          <w:szCs w:val="20"/>
        </w:rPr>
        <w:t>: Simple, fast (≈2 min), a strong baseline.</w:t>
      </w:r>
    </w:p>
    <w:p w14:paraId="3D31B5B0" w14:textId="1AF1602F"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p w14:paraId="5C98655D" w14:textId="77777777" w:rsidR="00907D75" w:rsidRPr="00907D75" w:rsidRDefault="00907D75">
      <w:pPr>
        <w:spacing w:after="120" w:line="324" w:lineRule="auto"/>
        <w:rPr>
          <w:rFonts w:ascii="Arial" w:eastAsia="Arial" w:hAnsi="Arial" w:cs="Arial"/>
          <w:color w:val="191919"/>
          <w:sz w:val="20"/>
          <w:szCs w:val="20"/>
        </w:rPr>
      </w:pPr>
    </w:p>
    <w:p w14:paraId="46CB31A2" w14:textId="77777777" w:rsidR="00C60C22" w:rsidRDefault="00000000">
      <w:pPr>
        <w:pStyle w:val="Heading3"/>
        <w:spacing w:after="120" w:line="324" w:lineRule="auto"/>
      </w:pPr>
      <w:r>
        <w:rPr>
          <w:rFonts w:ascii="Arial" w:eastAsia="Arial" w:hAnsi="Arial" w:cs="Arial"/>
          <w:color w:val="191919"/>
          <w:sz w:val="20"/>
          <w:szCs w:val="20"/>
        </w:rPr>
        <w:lastRenderedPageBreak/>
        <w:t>4.2.2 NCF (NeuMF): Neural Collaborative Filtering</w:t>
      </w:r>
    </w:p>
    <w:tbl>
      <w:tblPr>
        <w:tblStyle w:val="a7"/>
        <w:tblW w:w="9406" w:type="dxa"/>
        <w:jc w:val="center"/>
        <w:tblInd w:w="0" w:type="dxa"/>
        <w:tblLayout w:type="fixed"/>
        <w:tblLook w:val="0600" w:firstRow="0" w:lastRow="0" w:firstColumn="0" w:lastColumn="0" w:noHBand="1" w:noVBand="1"/>
      </w:tblPr>
      <w:tblGrid>
        <w:gridCol w:w="9406"/>
      </w:tblGrid>
      <w:tr w:rsidR="00C60C22" w14:paraId="57902D0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C3BE0C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202C1E39" w14:textId="77777777" w:rsidR="00C60C22" w:rsidRDefault="00000000">
            <w:pPr>
              <w:spacing w:after="120" w:line="324" w:lineRule="auto"/>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511C217C" w14:textId="77777777" w:rsidR="00C60C22" w:rsidRDefault="00C60C22">
      <w:pPr>
        <w:spacing w:after="120" w:line="324" w:lineRule="auto"/>
        <w:rPr>
          <w:rFonts w:ascii="Arial" w:eastAsia="Arial" w:hAnsi="Arial" w:cs="Arial"/>
          <w:color w:val="191919"/>
          <w:sz w:val="20"/>
          <w:szCs w:val="20"/>
        </w:rPr>
      </w:pPr>
    </w:p>
    <w:p w14:paraId="3F3D77E0" w14:textId="77777777" w:rsidR="00C60C22" w:rsidRDefault="00000000">
      <w:pPr>
        <w:pStyle w:val="Heading4"/>
        <w:spacing w:before="120" w:after="120" w:line="324" w:lineRule="auto"/>
        <w:rPr>
          <w:rFonts w:ascii="Arial" w:eastAsia="Arial" w:hAnsi="Arial" w:cs="Arial"/>
          <w:color w:val="191919"/>
          <w:sz w:val="20"/>
          <w:szCs w:val="20"/>
        </w:rPr>
      </w:pPr>
      <w:bookmarkStart w:id="6" w:name="_d0pla5qgz2d" w:colFirst="0" w:colLast="0"/>
      <w:bookmarkEnd w:id="6"/>
      <w:r>
        <w:rPr>
          <w:rFonts w:ascii="Arial" w:eastAsia="Arial" w:hAnsi="Arial" w:cs="Arial"/>
          <w:color w:val="191919"/>
          <w:sz w:val="20"/>
          <w:szCs w:val="20"/>
        </w:rPr>
        <w:t>NCF (NeuMF): Architecture</w:t>
      </w:r>
    </w:p>
    <w:p w14:paraId="342CA072" w14:textId="77777777" w:rsidR="00C60C22" w:rsidRDefault="00000000">
      <w:pPr>
        <w:spacing w:after="120" w:line="324" w:lineRule="auto"/>
      </w:pPr>
      <w:r>
        <w:rPr>
          <w:rFonts w:ascii="Arial" w:eastAsia="Arial" w:hAnsi="Arial" w:cs="Arial"/>
          <w:color w:val="191919"/>
          <w:sz w:val="20"/>
          <w:szCs w:val="20"/>
        </w:rPr>
        <w:t>NCF fuses two parallel branches over four independent 64-dim embedding tables (GMF-user, GMF-item, MLP-user, MLP-item). The two branch outputs are concatenated and passed through a sigmoid to produce ŷ ∈ (0, 1).</w:t>
      </w:r>
    </w:p>
    <w:p w14:paraId="52485310" w14:textId="5A0C97DC" w:rsidR="00C60C22" w:rsidRPr="00907D75" w:rsidRDefault="00000000" w:rsidP="00907D75">
      <w:pPr>
        <w:spacing w:after="120" w:line="324" w:lineRule="auto"/>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 vᵢᴳᴹᶠ → 64-dim. Equivalent to a matrix factorisation with per-dimension weights.</w:t>
      </w:r>
    </w:p>
    <w:p w14:paraId="3BA75B30" w14:textId="77777777" w:rsidR="00C60C22" w:rsidRPr="00907D75"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rial" w:eastAsia="Arial" w:hAnsi="Arial" w:cs="Arial"/>
          <w:color w:val="191919"/>
          <w:sz w:val="20"/>
          <w:szCs w:val="20"/>
        </w:rPr>
        <w:t xml:space="preserve"> Concatenates uᵤᴹᴸᴾ and vᵢᴹᴸᴾ into a 128-dim input, then passes through ReLU layers 128 → 64 → 32. The non-linearity captures patterns a single dot product cannot.</w:t>
      </w:r>
    </w:p>
    <w:p w14:paraId="1E621A21" w14:textId="495649E7" w:rsidR="00C60C22" w:rsidRPr="00907D75" w:rsidRDefault="00907D75">
      <w:pPr>
        <w:spacing w:after="120" w:line="324" w:lineRule="auto"/>
        <w:jc w:val="center"/>
        <w:rPr>
          <w:rFonts w:ascii="Arial" w:eastAsia="Arial" w:hAnsi="Arial" w:cs="Arial"/>
          <w:color w:val="191919"/>
          <w:sz w:val="20"/>
          <w:szCs w:val="20"/>
        </w:rPr>
      </w:pPr>
      <w:r>
        <w:rPr>
          <w:noProof/>
        </w:rPr>
        <w:drawing>
          <wp:inline distT="0" distB="0" distL="0" distR="0" wp14:anchorId="0E5DF2F2" wp14:editId="42CECDDB">
            <wp:extent cx="5443728" cy="2078736"/>
            <wp:effectExtent l="0" t="0" r="5080" b="4445"/>
            <wp:docPr id="68717351" name="Picture 6871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f_gmf.png"/>
                    <pic:cNvPicPr/>
                  </pic:nvPicPr>
                  <pic:blipFill rotWithShape="1">
                    <a:blip r:embed="rId28"/>
                    <a:srcRect l="1" r="767" b="23101"/>
                    <a:stretch>
                      <a:fillRect/>
                    </a:stretch>
                  </pic:blipFill>
                  <pic:spPr bwMode="auto">
                    <a:xfrm>
                      <a:off x="0" y="0"/>
                      <a:ext cx="5444324" cy="2078964"/>
                    </a:xfrm>
                    <a:prstGeom prst="rect">
                      <a:avLst/>
                    </a:prstGeom>
                    <a:ln>
                      <a:noFill/>
                    </a:ln>
                    <a:extLst>
                      <a:ext uri="{53640926-AAD7-44D8-BBD7-CCE9431645EC}">
                        <a14:shadowObscured xmlns:a14="http://schemas.microsoft.com/office/drawing/2010/main"/>
                      </a:ext>
                    </a:extLst>
                  </pic:spPr>
                </pic:pic>
              </a:graphicData>
            </a:graphic>
          </wp:inline>
        </w:drawing>
      </w:r>
    </w:p>
    <w:p w14:paraId="349127B9" w14:textId="77777777" w:rsidR="00C60C22" w:rsidRPr="00907D75"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3FADC5D7" w14:textId="77777777" w:rsidR="00C60C22" w:rsidRPr="00907D75" w:rsidRDefault="00000000">
      <w:pPr>
        <w:spacing w:after="120" w:line="324" w:lineRule="auto"/>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 (0, 1).</w:t>
      </w:r>
    </w:p>
    <w:p w14:paraId="088B969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6333D39" wp14:editId="46C07592">
            <wp:extent cx="5486400" cy="1963884"/>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b="30578"/>
                    <a:stretch>
                      <a:fillRect/>
                    </a:stretch>
                  </pic:blipFill>
                  <pic:spPr>
                    <a:xfrm>
                      <a:off x="0" y="0"/>
                      <a:ext cx="5486400" cy="1963884"/>
                    </a:xfrm>
                    <a:prstGeom prst="rect">
                      <a:avLst/>
                    </a:prstGeom>
                    <a:ln/>
                  </pic:spPr>
                </pic:pic>
              </a:graphicData>
            </a:graphic>
          </wp:inline>
        </w:drawing>
      </w:r>
    </w:p>
    <w:p w14:paraId="6E1CA4E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5BEFE6EC" w14:textId="77777777" w:rsidR="00C60C22" w:rsidRDefault="00000000">
      <w:pPr>
        <w:pStyle w:val="Heading4"/>
        <w:spacing w:before="120" w:after="120" w:line="324" w:lineRule="auto"/>
        <w:rPr>
          <w:rFonts w:ascii="Arial" w:eastAsia="Arial" w:hAnsi="Arial" w:cs="Arial"/>
          <w:color w:val="191919"/>
          <w:sz w:val="20"/>
          <w:szCs w:val="20"/>
        </w:rPr>
      </w:pPr>
      <w:bookmarkStart w:id="7" w:name="_quy6eibwjftv" w:colFirst="0" w:colLast="0"/>
      <w:bookmarkEnd w:id="7"/>
      <w:r>
        <w:rPr>
          <w:rFonts w:ascii="Arial" w:eastAsia="Arial" w:hAnsi="Arial" w:cs="Arial"/>
          <w:color w:val="191919"/>
          <w:sz w:val="20"/>
          <w:szCs w:val="20"/>
        </w:rPr>
        <w:t>NCF (NeuMF): Training</w:t>
      </w:r>
    </w:p>
    <w:p w14:paraId="1D7AC8DF" w14:textId="706C03EC"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A78E463"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606B2EEA" wp14:editId="0AF3AEC9">
            <wp:extent cx="5303520" cy="9318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ncf.png"/>
                    <pic:cNvPicPr/>
                  </pic:nvPicPr>
                  <pic:blipFill>
                    <a:blip r:embed="rId30"/>
                    <a:stretch>
                      <a:fillRect/>
                    </a:stretch>
                  </pic:blipFill>
                  <pic:spPr>
                    <a:xfrm>
                      <a:off x="0" y="0"/>
                      <a:ext cx="5303520" cy="931884"/>
                    </a:xfrm>
                    <a:prstGeom prst="rect">
                      <a:avLst/>
                    </a:prstGeom>
                  </pic:spPr>
                </pic:pic>
              </a:graphicData>
            </a:graphic>
          </wp:inline>
        </w:drawing>
      </w:r>
    </w:p>
    <w:p w14:paraId="5ADE67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2: NCF binary cross-entropy loss on observed positives and sampled negatives.</w:t>
      </w:r>
    </w:p>
    <w:p w14:paraId="7E92C4F1" w14:textId="68AA3789" w:rsidR="00C60C22" w:rsidRDefault="00000000" w:rsidP="00907D75">
      <w:pPr>
        <w:spacing w:after="120" w:line="324" w:lineRule="auto"/>
        <w:rPr>
          <w:rFonts w:ascii="Arial" w:eastAsia="Arial" w:hAnsi="Arial" w:cs="Arial"/>
          <w:color w:val="191919"/>
          <w:sz w:val="20"/>
          <w:szCs w:val="20"/>
        </w:rPr>
      </w:pPr>
      <w:r>
        <w:rPr>
          <w:rFonts w:ascii="Arial" w:hAnsi="Arial" w:cs="Arial"/>
          <w:sz w:val="20"/>
        </w:rPr>
        <w:t>where 𝒟⁺ is the observed-interaction set (y_{u,i} = 1) and 𝒟⁻ a same-size set of uniformly sampled negatives (y_{u,i} = 0); ŷ_{u,i} ∈ (0, 1) is the NeuMF sigmoid output from the fused GMF + MLP representation. A confident wrong prediction — e.g. ŷ = 0.9 on a true negative — contributes −log(0.1) ≈ 2.3 to the loss.</w:t>
      </w:r>
    </w:p>
    <w:p w14:paraId="3E47CA66" w14:textId="77777777" w:rsidR="00C60C22" w:rsidRDefault="00000000">
      <w:pPr>
        <w:pStyle w:val="Heading4"/>
        <w:spacing w:before="120" w:after="120" w:line="324" w:lineRule="auto"/>
        <w:rPr>
          <w:rFonts w:ascii="Arial" w:eastAsia="Arial" w:hAnsi="Arial" w:cs="Arial"/>
          <w:color w:val="191919"/>
          <w:sz w:val="20"/>
          <w:szCs w:val="20"/>
        </w:rPr>
      </w:pPr>
      <w:bookmarkStart w:id="8" w:name="_hbn4isvg3pg2" w:colFirst="0" w:colLast="0"/>
      <w:bookmarkEnd w:id="8"/>
      <w:r>
        <w:rPr>
          <w:rFonts w:ascii="Arial" w:eastAsia="Arial" w:hAnsi="Arial" w:cs="Arial"/>
          <w:color w:val="191919"/>
          <w:sz w:val="20"/>
          <w:szCs w:val="20"/>
        </w:rPr>
        <w:t>NCF (NeuMF): Inference</w:t>
      </w:r>
    </w:p>
    <w:p w14:paraId="632C78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Scoring any (u, i) requires a forward pass through the fused network — there is no single matrix multiply. NCF is therefore slower than MF-BPR at inference but more expressive.</w:t>
      </w:r>
    </w:p>
    <w:p w14:paraId="7C2614DB" w14:textId="77777777" w:rsidR="00C60C22" w:rsidRDefault="00000000">
      <w:pPr>
        <w:pStyle w:val="Heading3"/>
        <w:spacing w:after="120" w:line="324" w:lineRule="auto"/>
        <w:rPr>
          <w:sz w:val="20"/>
          <w:szCs w:val="20"/>
        </w:rPr>
      </w:pPr>
      <w:r>
        <w:rPr>
          <w:rFonts w:ascii="Arial" w:eastAsia="Arial" w:hAnsi="Arial" w:cs="Arial"/>
          <w:color w:val="191919"/>
          <w:sz w:val="20"/>
          <w:szCs w:val="20"/>
        </w:rPr>
        <w:t>4.2.3 LightGCN: Graph Convolution for Recommendations</w:t>
      </w:r>
    </w:p>
    <w:tbl>
      <w:tblPr>
        <w:tblStyle w:val="a9"/>
        <w:tblW w:w="9406" w:type="dxa"/>
        <w:jc w:val="center"/>
        <w:tblInd w:w="0" w:type="dxa"/>
        <w:tblLayout w:type="fixed"/>
        <w:tblLook w:val="0600" w:firstRow="0" w:lastRow="0" w:firstColumn="0" w:lastColumn="0" w:noHBand="1" w:noVBand="1"/>
      </w:tblPr>
      <w:tblGrid>
        <w:gridCol w:w="9406"/>
      </w:tblGrid>
      <w:tr w:rsidR="00C60C22" w14:paraId="3F8C0F8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BFB10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49B8546F" w14:textId="77777777" w:rsidR="00C60C22" w:rsidRDefault="00000000">
            <w:pPr>
              <w:spacing w:after="120" w:line="324" w:lineRule="auto"/>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lastRenderedPageBreak/>
              <w:t>board) all share one limitation though: they only know about GAMES. A patron who has only ever rented movies is still invisible to them.</w:t>
            </w:r>
          </w:p>
        </w:tc>
      </w:tr>
    </w:tbl>
    <w:p w14:paraId="7B3C626A" w14:textId="77777777" w:rsidR="00C60C22" w:rsidRDefault="00C60C22">
      <w:pPr>
        <w:spacing w:after="120" w:line="324" w:lineRule="auto"/>
        <w:rPr>
          <w:rFonts w:ascii="Arial" w:eastAsia="Arial" w:hAnsi="Arial" w:cs="Arial"/>
          <w:color w:val="191919"/>
          <w:sz w:val="20"/>
          <w:szCs w:val="20"/>
        </w:rPr>
      </w:pPr>
    </w:p>
    <w:p w14:paraId="56987B6F" w14:textId="77777777" w:rsidR="00C60C22" w:rsidRDefault="00000000">
      <w:pPr>
        <w:pStyle w:val="Heading4"/>
        <w:spacing w:before="120" w:after="120" w:line="324" w:lineRule="auto"/>
        <w:rPr>
          <w:rFonts w:ascii="Arial" w:eastAsia="Arial" w:hAnsi="Arial" w:cs="Arial"/>
          <w:color w:val="191919"/>
          <w:sz w:val="20"/>
          <w:szCs w:val="20"/>
        </w:rPr>
      </w:pPr>
      <w:bookmarkStart w:id="9" w:name="_tnlllf1tzz2f" w:colFirst="0" w:colLast="0"/>
      <w:bookmarkEnd w:id="9"/>
      <w:r>
        <w:rPr>
          <w:rFonts w:ascii="Arial" w:eastAsia="Arial" w:hAnsi="Arial" w:cs="Arial"/>
          <w:color w:val="191919"/>
          <w:sz w:val="20"/>
          <w:szCs w:val="20"/>
        </w:rPr>
        <w:t>LightGCN: Graph Architecture</w:t>
      </w:r>
    </w:p>
    <w:p w14:paraId="72A5C83F" w14:textId="77777777" w:rsidR="00EF2689" w:rsidRDefault="00EF2689" w:rsidP="00EF2689">
      <w:pPr>
        <w:spacing w:after="120" w:line="276" w:lineRule="auto"/>
      </w:pPr>
      <w: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2EBDCDA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E62D8F" wp14:editId="476E697E">
            <wp:extent cx="5486400" cy="3335462"/>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1"/>
                    <a:srcRect/>
                    <a:stretch>
                      <a:fillRect/>
                    </a:stretch>
                  </pic:blipFill>
                  <pic:spPr>
                    <a:xfrm>
                      <a:off x="0" y="0"/>
                      <a:ext cx="5486400" cy="3335462"/>
                    </a:xfrm>
                    <a:prstGeom prst="rect">
                      <a:avLst/>
                    </a:prstGeom>
                    <a:ln/>
                  </pic:spPr>
                </pic:pic>
              </a:graphicData>
            </a:graphic>
          </wp:inline>
        </w:drawing>
      </w:r>
    </w:p>
    <w:p w14:paraId="67C0EEFB" w14:textId="5BF4181C" w:rsidR="00EF2689" w:rsidRPr="00EF2689" w:rsidRDefault="00000000" w:rsidP="00EF2689">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120AFF15" w14:textId="77777777" w:rsidR="00EF2689" w:rsidRDefault="00EF2689" w:rsidP="00EF2689">
      <w:pPr>
        <w:spacing w:after="120" w:line="276" w:lineRule="auto"/>
      </w:pPr>
      <w: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2F06A017" w14:textId="77777777" w:rsidR="00C60C22" w:rsidRDefault="00C60C22">
      <w:pPr>
        <w:spacing w:after="120" w:line="324" w:lineRule="auto"/>
        <w:rPr>
          <w:rFonts w:ascii="Arial" w:eastAsia="Arial" w:hAnsi="Arial" w:cs="Arial"/>
          <w:color w:val="191919"/>
          <w:sz w:val="20"/>
          <w:szCs w:val="20"/>
        </w:rPr>
      </w:pPr>
    </w:p>
    <w:p w14:paraId="2C385365" w14:textId="77777777" w:rsidR="00C60C22" w:rsidRDefault="00000000">
      <w:pPr>
        <w:pStyle w:val="Heading4"/>
        <w:spacing w:before="120" w:after="120" w:line="324" w:lineRule="auto"/>
        <w:rPr>
          <w:rFonts w:ascii="Arial" w:eastAsia="Arial" w:hAnsi="Arial" w:cs="Arial"/>
          <w:color w:val="191919"/>
          <w:sz w:val="20"/>
          <w:szCs w:val="20"/>
        </w:rPr>
      </w:pPr>
      <w:bookmarkStart w:id="10" w:name="_10w0bnnjhhc6" w:colFirst="0" w:colLast="0"/>
      <w:bookmarkEnd w:id="10"/>
      <w:r>
        <w:rPr>
          <w:rFonts w:ascii="Arial" w:eastAsia="Arial" w:hAnsi="Arial" w:cs="Arial"/>
          <w:color w:val="191919"/>
          <w:sz w:val="20"/>
          <w:szCs w:val="20"/>
        </w:rPr>
        <w:t>LightGCN: Training</w:t>
      </w:r>
    </w:p>
    <w:p w14:paraId="7D0E9153" w14:textId="77777777" w:rsidR="00EF2689" w:rsidRDefault="00EF2689" w:rsidP="00EF2689">
      <w:pPr>
        <w:spacing w:before="120" w:after="0" w:line="276" w:lineRule="auto"/>
      </w:pPr>
      <w:r>
        <w:t xml:space="preserve">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w:t>
        <w:lastRenderedPageBreak/>
        <w:t>transformation matrices, no activation functions) is what makes LightGCN outperform more complex GCN variants.</w:t>
      </w:r>
    </w:p>
    <w:p w14:paraId="54458052" w14:textId="632E2A03"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71D1D67F" wp14:editId="1A1EAA2B">
            <wp:extent cx="5303520" cy="90442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lightgcn.png"/>
                    <pic:cNvPicPr/>
                  </pic:nvPicPr>
                  <pic:blipFill>
                    <a:blip r:embed="rId32"/>
                    <a:stretch>
                      <a:fillRect/>
                    </a:stretch>
                  </pic:blipFill>
                  <pic:spPr>
                    <a:xfrm>
                      <a:off x="0" y="0"/>
                      <a:ext cx="5303520" cy="904428"/>
                    </a:xfrm>
                    <a:prstGeom prst="rect">
                      <a:avLst/>
                    </a:prstGeom>
                  </pic:spPr>
                </pic:pic>
              </a:graphicData>
            </a:graphic>
          </wp:inline>
        </w:drawing>
      </w:r>
    </w:p>
    <w:p w14:paraId="0958B577"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3: LightGCN layer-combined embeddings and BPR loss.</w:t>
      </w:r>
    </w:p>
    <w:p w14:paraId="5CD0554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572F9FB" wp14:editId="46ECDB2A">
            <wp:extent cx="5486400" cy="3048794"/>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486400" cy="3048794"/>
                    </a:xfrm>
                    <a:prstGeom prst="rect">
                      <a:avLst/>
                    </a:prstGeom>
                    <a:ln/>
                  </pic:spPr>
                </pic:pic>
              </a:graphicData>
            </a:graphic>
          </wp:inline>
        </w:drawing>
      </w:r>
    </w:p>
    <w:p w14:paraId="3F63C601"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71AFE5F5" w14:textId="77777777" w:rsidR="00C60C22" w:rsidRDefault="00C60C22">
      <w:pPr>
        <w:spacing w:after="120" w:line="324" w:lineRule="auto"/>
        <w:jc w:val="center"/>
        <w:rPr>
          <w:rFonts w:ascii="Arial" w:eastAsia="Arial" w:hAnsi="Arial" w:cs="Arial"/>
          <w:i/>
          <w:iCs/>
          <w:color w:val="191919"/>
          <w:sz w:val="20"/>
          <w:szCs w:val="20"/>
        </w:rPr>
      </w:pPr>
    </w:p>
    <w:p w14:paraId="0415E0CB" w14:textId="77777777" w:rsidR="00C60C22" w:rsidRDefault="00000000">
      <w:pPr>
        <w:pStyle w:val="Heading4"/>
        <w:spacing w:before="120" w:after="120" w:line="324" w:lineRule="auto"/>
        <w:rPr>
          <w:rFonts w:ascii="Arial" w:eastAsia="Arial" w:hAnsi="Arial" w:cs="Arial"/>
          <w:color w:val="191919"/>
          <w:sz w:val="20"/>
          <w:szCs w:val="20"/>
        </w:rPr>
      </w:pPr>
      <w:bookmarkStart w:id="11" w:name="_2yxnxnj4se6q" w:colFirst="0" w:colLast="0"/>
      <w:bookmarkEnd w:id="11"/>
      <w:r>
        <w:rPr>
          <w:rFonts w:ascii="Arial" w:eastAsia="Arial" w:hAnsi="Arial" w:cs="Arial"/>
          <w:color w:val="191919"/>
          <w:sz w:val="20"/>
          <w:szCs w:val="20"/>
        </w:rPr>
        <w:t>LightGCN: Inference</w:t>
      </w:r>
    </w:p>
    <w:p w14:paraId="389DABD0" w14:textId="73AFD644" w:rsidR="00EF2689" w:rsidRDefault="00EF2689" w:rsidP="00EF2689">
      <w:pPr>
        <w:spacing w:after="120" w:line="324" w:lineRule="auto"/>
        <w:rPr>
          <w:rFonts w:ascii="Arial" w:eastAsia="Arial" w:hAnsi="Arial" w:cs="Arial"/>
          <w:color w:val="191919"/>
          <w:sz w:val="20"/>
          <w:szCs w:val="20"/>
        </w:rPr>
      </w:pPr>
      <w:r>
        <w:t>After training, we pre-compute the final embeddings for all users and items by running the full K-layer propagation once. Inference is identical to MF-BPR: a single dot product between the user's final embedding and all item embeddings, then rank by score.</w:t>
      </w:r>
    </w:p>
    <w:p w14:paraId="4E6B722B" w14:textId="77777777" w:rsidR="00C60C22" w:rsidRDefault="00000000">
      <w:pPr>
        <w:pStyle w:val="Heading2"/>
        <w:spacing w:before="240" w:after="160" w:line="324" w:lineRule="auto"/>
        <w:rPr>
          <w:rFonts w:ascii="Arial" w:eastAsia="Arial" w:hAnsi="Arial" w:cs="Arial"/>
          <w:color w:val="191919"/>
          <w:sz w:val="20"/>
          <w:szCs w:val="20"/>
        </w:rPr>
      </w:pPr>
      <w:bookmarkStart w:id="12" w:name="_p02xm7iuuw0b" w:colFirst="0" w:colLast="0"/>
      <w:bookmarkEnd w:id="12"/>
      <w:r>
        <w:rPr>
          <w:rFonts w:ascii="Arial" w:eastAsia="Arial" w:hAnsi="Arial" w:cs="Arial"/>
          <w:color w:val="191919"/>
          <w:sz w:val="22"/>
          <w:szCs w:val="22"/>
        </w:rPr>
        <w:t>4.3 Cross Domain Models</w:t>
      </w:r>
    </w:p>
    <w:tbl>
      <w:tblPr>
        <w:tblStyle w:val="ab"/>
        <w:tblW w:w="9406" w:type="dxa"/>
        <w:jc w:val="center"/>
        <w:tblInd w:w="0" w:type="dxa"/>
        <w:tblLayout w:type="fixed"/>
        <w:tblLook w:val="0400" w:firstRow="0" w:lastRow="0" w:firstColumn="0" w:lastColumn="0" w:noHBand="0" w:noVBand="1"/>
      </w:tblPr>
      <w:tblGrid>
        <w:gridCol w:w="9406"/>
      </w:tblGrid>
      <w:tr w:rsidR="00C60C22" w14:paraId="68BDEEF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B07B6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Cross-Domain Models</w:t>
            </w:r>
          </w:p>
          <w:p w14:paraId="41F17F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14:paraId="598659BE" w14:textId="77777777" w:rsidR="00C60C22" w:rsidRDefault="00000000">
      <w:pPr>
        <w:pStyle w:val="Heading3"/>
        <w:spacing w:after="120" w:line="324" w:lineRule="auto"/>
        <w:rPr>
          <w:sz w:val="20"/>
          <w:szCs w:val="20"/>
        </w:rPr>
      </w:pPr>
      <w:r>
        <w:rPr>
          <w:rFonts w:ascii="Arial" w:eastAsia="Arial" w:hAnsi="Arial" w:cs="Arial"/>
          <w:color w:val="191919"/>
          <w:sz w:val="20"/>
          <w:szCs w:val="20"/>
        </w:rPr>
        <w:lastRenderedPageBreak/>
        <w:t>4.3.1 CMF: Collective Matrix Factorization</w:t>
      </w:r>
    </w:p>
    <w:tbl>
      <w:tblPr>
        <w:tblStyle w:val="ac"/>
        <w:tblW w:w="9406" w:type="dxa"/>
        <w:jc w:val="center"/>
        <w:tblInd w:w="0" w:type="dxa"/>
        <w:tblLayout w:type="fixed"/>
        <w:tblLook w:val="0600" w:firstRow="0" w:lastRow="0" w:firstColumn="0" w:lastColumn="0" w:noHBand="1" w:noVBand="1"/>
      </w:tblPr>
      <w:tblGrid>
        <w:gridCol w:w="9406"/>
      </w:tblGrid>
      <w:tr w:rsidR="00C60C22" w14:paraId="0C7422EF"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122DB534"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7E8D43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5E6CEF15" w14:textId="77777777" w:rsidR="00C60C22" w:rsidRDefault="00C60C22">
      <w:pPr>
        <w:spacing w:after="120" w:line="324" w:lineRule="auto"/>
      </w:pPr>
    </w:p>
    <w:p w14:paraId="141CE4AE" w14:textId="77777777" w:rsidR="00C60C22" w:rsidRDefault="00000000">
      <w:pPr>
        <w:pStyle w:val="Heading4"/>
        <w:spacing w:before="120" w:after="120" w:line="324" w:lineRule="auto"/>
      </w:pPr>
      <w:r>
        <w:rPr>
          <w:rFonts w:ascii="Arial" w:eastAsia="Arial" w:hAnsi="Arial" w:cs="Arial"/>
          <w:color w:val="191919"/>
          <w:sz w:val="20"/>
          <w:szCs w:val="20"/>
        </w:rPr>
        <w:t>CMF Architecture</w:t>
      </w:r>
    </w:p>
    <w:p w14:paraId="1BF39858" w14:textId="77777777" w:rsidR="00FC3717" w:rsidRPr="00EF2689" w:rsidRDefault="00000000">
      <w:pPr>
        <w:spacing w:after="120" w:line="324" w:lineRule="auto"/>
        <w:rPr>
          <w:bCs/>
        </w:rPr>
      </w:pPr>
      <w:r>
        <w:rPr>
          <w:rFonts w:ascii="Arial" w:hAnsi="Arial" w:cs="Arial"/>
          <w:bCs/>
          <w:sz w:val="20"/>
        </w:rPr>
        <w:t>Shared user matrix. CMF keeps one user matrix U ∈ ℝ^(|𝒰|×96) shared by both domains, plus domain-specific item matrices Vᴹ ∈ ℝ^(|ℐᴹ|×96) for movies and Vᴳ ∈ ℝ^(|ℐᴳ|×96) for games. Every user has exactly one 96-dim vector used in both domains.</w:t>
      </w:r>
    </w:p>
    <w:p w14:paraId="6B282E66" w14:textId="77777777" w:rsidR="00FC3717" w:rsidRPr="00EF2689" w:rsidRDefault="00000000">
      <w:pPr>
        <w:spacing w:after="120" w:line="324" w:lineRule="auto"/>
        <w:rPr>
          <w:bCs/>
        </w:rPr>
      </w:pPr>
      <w:r>
        <w:rPr>
          <w:rFonts w:ascii="Arial" w:hAnsi="Arial" w:cs="Arial"/>
          <w:bCs/>
          <w:sz w:val="20"/>
        </w:rPr>
        <w:t>Item matrices stay private. Vᴹ receives only movie gradients, Vᴳ only game gradients; the shared U is therefore the sole transfer channel between the two domains.</w:t>
      </w:r>
    </w:p>
    <w:p w14:paraId="6509E834" w14:textId="1C4081E3" w:rsidR="00EF2689" w:rsidRPr="00EF2689" w:rsidRDefault="00EF2689">
      <w:pPr>
        <w:spacing w:after="120" w:line="324" w:lineRule="auto"/>
        <w:rPr>
          <w:bCs/>
        </w:rPr>
      </w:pPr>
      <w:r>
        <w:rPr>
          <w:noProof/>
        </w:rPr>
        <w:drawing>
          <wp:inline distT="0" distB="0" distL="0" distR="0" wp14:anchorId="71C393D0" wp14:editId="770A9529">
            <wp:extent cx="5303520" cy="30349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mf.png"/>
                    <pic:cNvPicPr/>
                  </pic:nvPicPr>
                  <pic:blipFill>
                    <a:blip r:embed="rId34"/>
                    <a:stretch>
                      <a:fillRect/>
                    </a:stretch>
                  </pic:blipFill>
                  <pic:spPr>
                    <a:xfrm>
                      <a:off x="0" y="0"/>
                      <a:ext cx="5303520" cy="3034945"/>
                    </a:xfrm>
                    <a:prstGeom prst="rect">
                      <a:avLst/>
                    </a:prstGeom>
                  </pic:spPr>
                </pic:pic>
              </a:graphicData>
            </a:graphic>
          </wp:inline>
        </w:drawing>
      </w:r>
    </w:p>
    <w:p w14:paraId="0AB457A9" w14:textId="77777777" w:rsidR="00C60C22" w:rsidRPr="00EF2689" w:rsidRDefault="00000000">
      <w:pPr>
        <w:pStyle w:val="Heading4"/>
        <w:spacing w:before="120" w:after="120" w:line="324" w:lineRule="auto"/>
        <w:rPr>
          <w:rFonts w:ascii="Arial" w:eastAsia="Arial" w:hAnsi="Arial" w:cs="Arial"/>
          <w:b w:val="0"/>
          <w:color w:val="191919"/>
          <w:sz w:val="20"/>
          <w:szCs w:val="20"/>
        </w:rPr>
      </w:pPr>
      <w:r>
        <w:rPr>
          <w:rFonts w:ascii="Arial" w:eastAsia="Arial" w:hAnsi="Arial" w:cs="Arial"/>
          <w:b w:val="0"/>
          <w:color w:val="191919"/>
          <w:sz w:val="20"/>
          <w:szCs w:val="20"/>
        </w:rPr>
        <w:t>CMF Training</w:t>
      </w:r>
    </w:p>
    <w:p w14:paraId="4439E9CB" w14:textId="77777777" w:rsidR="00FC3717" w:rsidRPr="00EF2689" w:rsidRDefault="00000000">
      <w:pPr>
        <w:spacing w:after="120" w:line="324" w:lineRule="auto"/>
        <w:rPr>
          <w:bCs/>
        </w:rPr>
      </w:pPr>
      <w:r>
        <w:rPr>
          <w:rFonts w:ascii="Arial" w:hAnsi="Arial" w:cs="Arial"/>
          <w:bCs/>
          <w:sz w:val="20"/>
        </w:rPr>
        <w:t>Sampling. Each step draws one BPR triplet per domain: (u, iᴹ⁺, iᴹ⁻) and (u, iᴳ⁺, iᴳ⁻) with uniform negatives. Users present in only one domain still contribute — their row of U is pulled by that domain's triplets alone.</w:t>
      </w:r>
    </w:p>
    <w:p w14:paraId="7CCAF812" w14:textId="77777777" w:rsidR="00FC3717" w:rsidRPr="00EF2689" w:rsidRDefault="00000000">
      <w:pPr>
        <w:spacing w:after="120" w:line="324" w:lineRule="auto"/>
        <w:rPr>
          <w:bCs/>
        </w:rPr>
      </w:pPr>
      <w:r>
        <w:rPr>
          <w:rFonts w:ascii="Arial" w:hAnsi="Arial" w:cs="Arial"/>
          <w:bCs/>
          <w:sz w:val="20"/>
        </w:rPr>
        <w:lastRenderedPageBreak/>
        <w:t>Joint objective. The total loss is a convex combination of the two per-domain BPR terms sharing U (Equation 4). α ∈ [0, 1] trades movie signal (α → 1) for game signal (α → 0); our default is α = 0.5.</w:t>
      </w:r>
    </w:p>
    <w:p w14:paraId="119BB6E3" w14:textId="77777777" w:rsidR="00FC3717" w:rsidRDefault="00000000">
      <w:pPr>
        <w:spacing w:before="120" w:after="0" w:line="276" w:lineRule="auto"/>
        <w:jc w:val="center"/>
      </w:pPr>
      <w:r>
        <w:rPr>
          <w:noProof/>
        </w:rPr>
        <w:drawing>
          <wp:inline distT="0" distB="0" distL="0" distR="0" wp14:anchorId="3BDCF36A" wp14:editId="26730CB7">
            <wp:extent cx="5303520" cy="9061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03520" cy="906128"/>
                    </a:xfrm>
                    <a:prstGeom prst="rect">
                      <a:avLst/>
                    </a:prstGeom>
                  </pic:spPr>
                </pic:pic>
              </a:graphicData>
            </a:graphic>
          </wp:inline>
        </w:drawing>
      </w:r>
    </w:p>
    <w:p w14:paraId="1DC3EEF8" w14:textId="77777777" w:rsidR="00FC3717" w:rsidRDefault="00000000">
      <w:pPr>
        <w:spacing w:after="120" w:line="324" w:lineRule="auto"/>
        <w:jc w:val="center"/>
      </w:pPr>
      <w:r>
        <w:rPr>
          <w:rFonts w:ascii="Arial" w:hAnsi="Arial" w:cs="Arial"/>
          <w:i/>
          <w:sz w:val="20"/>
        </w:rPr>
        <w:t>Equation 4: CMF joint two-domain loss with shared user matrix U.</w:t>
      </w:r>
    </w:p>
    <w:p w14:paraId="59585508" w14:textId="2CC8C5F5" w:rsidR="00FC3717" w:rsidRDefault="00000000" w:rsidP="00EF2689">
      <w:pPr>
        <w:spacing w:after="120" w:line="324" w:lineRule="auto"/>
      </w:pPr>
      <w:r>
        <w:rPr>
          <w:rFonts w:ascii="Arial" w:hAnsi="Arial" w:cs="Arial"/>
          <w:sz w:val="20"/>
        </w:rPr>
        <w:t>where U is the shared user matrix; Vᴹ, Vᴳ are the domain-specific item matrices; L_BPRᴹ, L_BPRᴳ are the per-domain BPR losses (same form as Equation 1); α ∈ [0, 1] balances the two domains; Θ = {U, Vᴹ, Vᴳ}; λ is the L2 strength.</w:t>
      </w:r>
    </w:p>
    <w:p w14:paraId="59C6D87A"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Inference</w:t>
      </w:r>
    </w:p>
    <w:p w14:paraId="3C6B9A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U, Vᴹ, Vᴳ. For user u and game g, score(u, g) = uᵤ · v_g — identical to MF-BPR. Vᴹ is never touched at inference; it has done its job by shaping U during training. A cold-start game user with movie history still gets useful scores because uᵤ carries movie-derived signal.</w:t>
      </w:r>
    </w:p>
    <w:p w14:paraId="4F6A2388" w14:textId="77777777" w:rsidR="00FC3717" w:rsidRDefault="00000000">
      <w:pPr>
        <w:spacing w:before="120" w:after="0" w:line="276" w:lineRule="auto"/>
        <w:jc w:val="center"/>
      </w:pPr>
      <w:r>
        <w:rPr>
          <w:noProof/>
        </w:rPr>
        <w:drawing>
          <wp:inline distT="0" distB="0" distL="0" distR="0" wp14:anchorId="7BA7FDAE" wp14:editId="76BC027B">
            <wp:extent cx="5303520" cy="30861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_cmf_inference.png"/>
                    <pic:cNvPicPr/>
                  </pic:nvPicPr>
                  <pic:blipFill>
                    <a:blip r:embed="rId36"/>
                    <a:stretch>
                      <a:fillRect/>
                    </a:stretch>
                  </pic:blipFill>
                  <pic:spPr>
                    <a:xfrm>
                      <a:off x="0" y="0"/>
                      <a:ext cx="5303520" cy="3086183"/>
                    </a:xfrm>
                    <a:prstGeom prst="rect">
                      <a:avLst/>
                    </a:prstGeom>
                  </pic:spPr>
                </pic:pic>
              </a:graphicData>
            </a:graphic>
          </wp:inline>
        </w:drawing>
      </w:r>
    </w:p>
    <w:p w14:paraId="35E1F4B8" w14:textId="77777777" w:rsidR="00FC3717" w:rsidRDefault="00000000">
      <w:pPr>
        <w:spacing w:after="120" w:line="324" w:lineRule="auto"/>
        <w:jc w:val="center"/>
      </w:pPr>
      <w:r>
        <w:rPr>
          <w:rFonts w:ascii="Arial" w:hAnsi="Arial" w:cs="Arial"/>
          <w:i/>
          <w:sz w:val="20"/>
        </w:rPr>
        <w:t>Figure 13b: CMF inference — the shared user vector scores every game by dot product against V_game.</w:t>
      </w:r>
    </w:p>
    <w:p w14:paraId="070028D4" w14:textId="77777777" w:rsidR="00C60C22" w:rsidRDefault="00C60C22">
      <w:pPr>
        <w:spacing w:after="120" w:line="324" w:lineRule="auto"/>
        <w:rPr>
          <w:rFonts w:ascii="Arial" w:eastAsia="Arial" w:hAnsi="Arial" w:cs="Arial"/>
          <w:color w:val="191919"/>
          <w:sz w:val="20"/>
          <w:szCs w:val="20"/>
        </w:rPr>
      </w:pPr>
    </w:p>
    <w:p w14:paraId="2C2B0849"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Limitations</w:t>
      </w:r>
    </w:p>
    <w:p w14:paraId="09E9A6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6391FA6E" w14:textId="77777777" w:rsidR="00C60C22" w:rsidRDefault="00C60C22">
      <w:pPr>
        <w:spacing w:after="120" w:line="324" w:lineRule="auto"/>
        <w:rPr>
          <w:rFonts w:ascii="Arial" w:eastAsia="Arial" w:hAnsi="Arial" w:cs="Arial"/>
          <w:color w:val="191919"/>
          <w:sz w:val="20"/>
          <w:szCs w:val="20"/>
        </w:rPr>
      </w:pPr>
    </w:p>
    <w:p w14:paraId="6DFF52D9" w14:textId="2D5F09CB" w:rsidR="00E15201" w:rsidRPr="00EF2689" w:rsidRDefault="00000000" w:rsidP="00EF2689">
      <w:pPr>
        <w:pStyle w:val="Heading3"/>
        <w:spacing w:after="120" w:line="324" w:lineRule="auto"/>
        <w:rPr>
          <w:rFonts w:ascii="Arial" w:eastAsia="Arial" w:hAnsi="Arial" w:cs="Arial"/>
          <w:color w:val="191919"/>
          <w:sz w:val="20"/>
          <w:szCs w:val="20"/>
        </w:rPr>
      </w:pPr>
      <w:bookmarkStart w:id="13" w:name="_uex5w61e3g07" w:colFirst="0" w:colLast="0"/>
      <w:bookmarkEnd w:id="13"/>
      <w:r>
        <w:rPr>
          <w:rFonts w:ascii="Arial" w:eastAsia="Arial" w:hAnsi="Arial" w:cs="Arial"/>
          <w:color w:val="191919"/>
          <w:sz w:val="20"/>
          <w:szCs w:val="20"/>
        </w:rPr>
        <w:lastRenderedPageBreak/>
        <w:t>4.3.2 EMCDR: Cross-Domain Embedding Mapping</w:t>
      </w:r>
    </w:p>
    <w:tbl>
      <w:tblPr>
        <w:tblStyle w:val="ac"/>
        <w:tblW w:w="9406" w:type="dxa"/>
        <w:jc w:val="center"/>
        <w:tblInd w:w="0" w:type="dxa"/>
        <w:tblLayout w:type="fixed"/>
        <w:tblLook w:val="0600" w:firstRow="0" w:lastRow="0" w:firstColumn="0" w:lastColumn="0" w:noHBand="1" w:noVBand="1"/>
      </w:tblPr>
      <w:tblGrid>
        <w:gridCol w:w="9406"/>
      </w:tblGrid>
      <w:tr w:rsidR="00E15201" w14:paraId="7339C2D8" w14:textId="77777777" w:rsidTr="00723EC0">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97D499B" w14:textId="77777777" w:rsidR="00E15201" w:rsidRDefault="00E15201" w:rsidP="00723EC0">
            <w:pPr>
              <w:spacing w:after="120" w:line="324" w:lineRule="auto"/>
              <w:rPr>
                <w:rFonts w:ascii="Arial" w:eastAsia="Arial" w:hAnsi="Arial" w:cs="Arial"/>
                <w:b/>
                <w:bCs/>
                <w:color w:val="191919"/>
                <w:sz w:val="20"/>
                <w:szCs w:val="20"/>
              </w:rPr>
            </w:pPr>
            <w:r>
              <w:rPr>
                <w:rFonts w:ascii="Arial" w:hAnsi="Arial" w:cs="Arial"/>
                <w:b/>
                <w:sz w:val="20"/>
                <w:szCs w:val="20"/>
              </w:rPr>
              <w:t>Analogy</w:t>
            </w:r>
            <w:r>
              <w:rPr>
                <w:rFonts w:ascii="Arial" w:eastAsia="Arial" w:hAnsi="Arial" w:cs="Arial"/>
                <w:b/>
                <w:bCs/>
                <w:color w:val="191919"/>
                <w:sz w:val="20"/>
                <w:szCs w:val="20"/>
              </w:rPr>
              <w:t xml:space="preserve"> — Maya Hires a Translator. </w:t>
            </w:r>
          </w:p>
          <w:p w14:paraId="17B76F69" w14:textId="0AEA0DA2" w:rsidR="00E15201" w:rsidRDefault="00E15201" w:rsidP="00723EC0">
            <w:pPr>
              <w:spacing w:after="120" w:line="324" w:lineRule="auto"/>
              <w:rPr>
                <w:rFonts w:ascii="Arial" w:eastAsia="Arial" w:hAnsi="Arial" w:cs="Arial"/>
                <w:color w:val="191919"/>
                <w:sz w:val="20"/>
                <w:szCs w:val="20"/>
              </w:rPr>
            </w:pPr>
            <w:r>
              <w:rPr>
                <w:rFonts w:ascii="Arial" w:eastAsia="Arial" w:hAnsi="Arial" w:cs="Arial"/>
                <w:color w:val="191919"/>
                <w:sz w:val="20"/>
                <w:szCs w:val="20"/>
              </w:rPr>
              <w:t>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42C7D286" w14:textId="77777777" w:rsidR="00E15201" w:rsidRPr="00E15201" w:rsidRDefault="00E15201" w:rsidP="00E15201"/>
    <w:p w14:paraId="4B040E16" w14:textId="00756B10" w:rsidR="00E15201" w:rsidRDefault="00E15201">
      <w:pPr>
        <w:pStyle w:val="Heading4"/>
        <w:spacing w:after="120" w:line="324" w:lineRule="auto"/>
        <w:rPr>
          <w:rFonts w:ascii="Arial" w:hAnsi="Arial" w:cs="Arial"/>
          <w:sz w:val="20"/>
        </w:rPr>
      </w:pPr>
      <w:r>
        <w:rPr>
          <w:rFonts w:ascii="Arial" w:eastAsia="Arial" w:hAnsi="Arial" w:cs="Arial"/>
          <w:color w:val="191919"/>
          <w:sz w:val="20"/>
          <w:szCs w:val="20"/>
        </w:rPr>
        <w:t>EMCDR Architecture</w:t>
      </w:r>
    </w:p>
    <w:p w14:paraId="739B8585" w14:textId="2980BDF4" w:rsidR="00FC3717" w:rsidRPr="00EF2689" w:rsidRDefault="00000000">
      <w:pPr>
        <w:spacing w:after="120" w:line="324" w:lineRule="auto"/>
        <w:rPr>
          <w:bCs/>
        </w:rPr>
      </w:pPr>
      <w:r>
        <w:rPr>
          <w:rFonts w:ascii="Arial" w:hAnsi="Arial" w:cs="Arial"/>
          <w:bCs/>
          <w:sz w:val="20"/>
        </w:rPr>
        <w:t>Two independent spaces. EMCDR trains one MF-BPR per domain: Uᴹ, Vᴹ for movies and Uᴳ, Vᴳ for games. The same user occupies both Uᴹ and Uᴳ as two unrelated 64-dim vectors (uᵤᴹ ≠ uᵤᴳ).</w:t>
      </w:r>
    </w:p>
    <w:p w14:paraId="305E304F" w14:textId="77777777" w:rsidR="00FC3717" w:rsidRPr="00EF2689" w:rsidRDefault="00000000">
      <w:pPr>
        <w:spacing w:after="120" w:line="324" w:lineRule="auto"/>
        <w:rPr>
          <w:bCs/>
        </w:rPr>
      </w:pPr>
      <w:r>
        <w:rPr>
          <w:rFonts w:ascii="Arial" w:hAnsi="Arial" w:cs="Arial"/>
          <w:bCs/>
          <w:sz w:val="20"/>
        </w:rPr>
        <w:t>A learned translator. A small MLP f_θ with two hidden layers of width 128 and ReLU maps movie-space to game-space: f_θ(uᵤᴹ) ≈ uᵤᴳ. Once fit, any user with a movie-side vector — including cold-start users — can be scored against Vᴳ.</w:t>
      </w:r>
    </w:p>
    <w:p w14:paraId="28701D3E" w14:textId="77777777" w:rsidR="00FC3717" w:rsidRPr="00EF2689" w:rsidRDefault="00000000">
      <w:pPr>
        <w:spacing w:after="120" w:line="324" w:lineRule="auto"/>
        <w:rPr>
          <w:bCs/>
        </w:rPr>
      </w:pPr>
      <w:r>
        <w:rPr>
          <w:rFonts w:ascii="Arial" w:hAnsi="Arial" w:cs="Arial"/>
          <w:bCs/>
          <w:sz w:val="20"/>
        </w:rPr>
        <w:t>Supervised by overlap. f_θ is trained only on overlap users 𝒰ₒ = {u : u has interactions in both domains}. In our data |𝒰ₒ| = 19,880 — without overlap the translator has no signal.</w:t>
      </w:r>
    </w:p>
    <w:p w14:paraId="701EA57E" w14:textId="77777777" w:rsidR="00FC3717" w:rsidRDefault="00000000">
      <w:pPr>
        <w:spacing w:before="120" w:after="0" w:line="276" w:lineRule="auto"/>
        <w:jc w:val="center"/>
      </w:pPr>
      <w:r>
        <w:rPr>
          <w:noProof/>
        </w:rPr>
        <w:drawing>
          <wp:inline distT="0" distB="0" distL="0" distR="0" wp14:anchorId="25B815B5" wp14:editId="5566688C">
            <wp:extent cx="5302242" cy="2078736"/>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emcdr_architecture.png"/>
                    <pic:cNvPicPr/>
                  </pic:nvPicPr>
                  <pic:blipFill rotWithShape="1">
                    <a:blip r:embed="rId37"/>
                    <a:srcRect t="24681" b="8518"/>
                    <a:stretch>
                      <a:fillRect/>
                    </a:stretch>
                  </pic:blipFill>
                  <pic:spPr bwMode="auto">
                    <a:xfrm>
                      <a:off x="0" y="0"/>
                      <a:ext cx="5303520" cy="2079237"/>
                    </a:xfrm>
                    <a:prstGeom prst="rect">
                      <a:avLst/>
                    </a:prstGeom>
                    <a:ln>
                      <a:noFill/>
                    </a:ln>
                    <a:extLst>
                      <a:ext uri="{53640926-AAD7-44D8-BBD7-CCE9431645EC}">
                        <a14:shadowObscured xmlns:a14="http://schemas.microsoft.com/office/drawing/2010/main"/>
                      </a:ext>
                    </a:extLst>
                  </pic:spPr>
                </pic:pic>
              </a:graphicData>
            </a:graphic>
          </wp:inline>
        </w:drawing>
      </w:r>
    </w:p>
    <w:p w14:paraId="62BFC809" w14:textId="54C59B20" w:rsidR="00FC3717" w:rsidRDefault="00000000">
      <w:pPr>
        <w:spacing w:after="120" w:line="324" w:lineRule="auto"/>
        <w:jc w:val="center"/>
      </w:pPr>
      <w:r>
        <w:rPr>
          <w:rFonts w:ascii="Arial" w:hAnsi="Arial" w:cs="Arial"/>
          <w:i/>
          <w:sz w:val="20"/>
        </w:rPr>
        <w:t>Figure 14a: EMCDR architecture — two independent MF-BPR spaces bridged by the learned translator fθ.</w:t>
      </w:r>
    </w:p>
    <w:p w14:paraId="1309952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EMCDR Training</w:t>
      </w:r>
    </w:p>
    <w:p w14:paraId="7269E572" w14:textId="77777777" w:rsidR="00FC3717" w:rsidRDefault="00000000">
      <w:pPr>
        <w:spacing w:after="120" w:line="324" w:lineRule="auto"/>
      </w:pPr>
      <w:r>
        <w:rPr>
          <w:rFonts w:ascii="Arial" w:hAnsi="Arial" w:cs="Arial"/>
          <w:sz w:val="20"/>
        </w:rPr>
        <w:t>Training proceeds in three sequential phases:</w:t>
      </w:r>
    </w:p>
    <w:p w14:paraId="639440FF" w14:textId="77777777" w:rsidR="00FC3717" w:rsidRDefault="00000000">
      <w:pPr>
        <w:spacing w:after="120" w:line="324" w:lineRule="auto"/>
      </w:pPr>
      <w:r>
        <w:rPr>
          <w:rFonts w:ascii="Arial" w:hAnsi="Arial" w:cs="Arial"/>
          <w:b/>
          <w:sz w:val="20"/>
        </w:rPr>
        <w:t xml:space="preserve">Phase 1 — movie MF-BPR. </w:t>
      </w:r>
      <w:r>
        <w:rPr>
          <w:rFonts w:ascii="Arial" w:hAnsi="Arial" w:cs="Arial"/>
          <w:sz w:val="20"/>
        </w:rPr>
        <w:t xml:space="preserve">Train MF-BPR on movies for 20 epochs to get </w:t>
      </w:r>
      <w:r>
        <w:rPr>
          <w:rFonts w:ascii="Arial" w:hAnsi="Arial" w:cs="Arial"/>
          <w:b/>
          <w:i/>
          <w:sz w:val="20"/>
        </w:rPr>
        <w:t>U</w:t>
      </w:r>
      <w:r>
        <w:rPr>
          <w:rFonts w:ascii="Arial" w:hAnsi="Arial" w:cs="Arial"/>
          <w:sz w:val="20"/>
          <w:vertAlign w:val="superscript"/>
        </w:rPr>
        <w:t>M</w:t>
      </w:r>
      <w:r>
        <w:rPr>
          <w:rFonts w:ascii="Arial" w:hAnsi="Arial" w:cs="Arial"/>
          <w:sz w:val="20"/>
        </w:rPr>
        <w:t xml:space="preserve"> and </w:t>
      </w:r>
      <w:r>
        <w:rPr>
          <w:rFonts w:ascii="Arial" w:hAnsi="Arial" w:cs="Arial"/>
          <w:b/>
          <w:i/>
          <w:sz w:val="20"/>
        </w:rPr>
        <w:t>V</w:t>
      </w:r>
      <w:r>
        <w:rPr>
          <w:rFonts w:ascii="Arial" w:hAnsi="Arial" w:cs="Arial"/>
          <w:sz w:val="20"/>
          <w:vertAlign w:val="superscript"/>
        </w:rPr>
        <w:t>M</w:t>
      </w:r>
      <w:r>
        <w:rPr>
          <w:rFonts w:ascii="Arial" w:hAnsi="Arial" w:cs="Arial"/>
          <w:sz w:val="20"/>
        </w:rPr>
        <w:t xml:space="preserve"> (64-dim each).</w:t>
      </w:r>
    </w:p>
    <w:p w14:paraId="498E56C5" w14:textId="77777777" w:rsidR="00FC3717" w:rsidRDefault="00000000">
      <w:pPr>
        <w:spacing w:after="120" w:line="324" w:lineRule="auto"/>
      </w:pPr>
      <w:r>
        <w:rPr>
          <w:rFonts w:ascii="Arial" w:hAnsi="Arial" w:cs="Arial"/>
          <w:b/>
          <w:sz w:val="20"/>
        </w:rPr>
        <w:lastRenderedPageBreak/>
        <w:t xml:space="preserve">Phase 2 — game MF-BPR. </w:t>
      </w:r>
      <w:r>
        <w:rPr>
          <w:rFonts w:ascii="Arial" w:hAnsi="Arial" w:cs="Arial"/>
          <w:sz w:val="20"/>
        </w:rPr>
        <w:t xml:space="preserve">Independently train a second MF-BPR on games for 20 epochs to get </w:t>
      </w:r>
      <w:r>
        <w:rPr>
          <w:rFonts w:ascii="Arial" w:hAnsi="Arial" w:cs="Arial"/>
          <w:b/>
          <w:i/>
          <w:sz w:val="20"/>
        </w:rPr>
        <w:t>U</w:t>
      </w:r>
      <w:r>
        <w:rPr>
          <w:rFonts w:ascii="Arial" w:hAnsi="Arial" w:cs="Arial"/>
          <w:sz w:val="20"/>
          <w:vertAlign w:val="superscript"/>
        </w:rPr>
        <w:t>G</w:t>
      </w:r>
      <w:r>
        <w:rPr>
          <w:rFonts w:ascii="Arial" w:hAnsi="Arial" w:cs="Arial"/>
          <w:sz w:val="20"/>
        </w:rPr>
        <w:t xml:space="preserve"> and </w:t>
      </w:r>
      <w:r>
        <w:rPr>
          <w:rFonts w:ascii="Arial" w:hAnsi="Arial" w:cs="Arial"/>
          <w:b/>
          <w:i/>
          <w:sz w:val="20"/>
        </w:rPr>
        <w:t>V</w:t>
      </w:r>
      <w:r>
        <w:rPr>
          <w:rFonts w:ascii="Arial" w:hAnsi="Arial" w:cs="Arial"/>
          <w:sz w:val="20"/>
          <w:vertAlign w:val="superscript"/>
        </w:rPr>
        <w:t>G</w:t>
      </w:r>
      <w:r>
        <w:rPr>
          <w:rFonts w:ascii="Arial" w:hAnsi="Arial" w:cs="Arial"/>
          <w:sz w:val="20"/>
        </w:rPr>
        <w:t>. No parameters are shared with Phase 1.</w:t>
      </w:r>
    </w:p>
    <w:p w14:paraId="74A39F20" w14:textId="77777777" w:rsidR="00FC3717" w:rsidRDefault="00000000">
      <w:pPr>
        <w:spacing w:after="120" w:line="324" w:lineRule="auto"/>
      </w:pPr>
      <w:r>
        <w:rPr>
          <w:rFonts w:ascii="Arial" w:hAnsi="Arial" w:cs="Arial"/>
          <w:b/>
          <w:sz w:val="20"/>
        </w:rPr>
        <w:t xml:space="preserve">Phase 3 — fit the translator. </w:t>
      </w:r>
      <w:r>
        <w:rPr>
          <w:rFonts w:ascii="Arial" w:hAnsi="Arial" w:cs="Arial"/>
          <w:sz w:val="20"/>
        </w:rPr>
        <w:t xml:space="preserve">Freeze both MF-BPR models. Using the overlap users only, fit </w:t>
      </w:r>
      <w:r>
        <w:rPr>
          <w:rFonts w:ascii="Arial" w:hAnsi="Arial" w:cs="Arial"/>
          <w:i/>
          <w:sz w:val="20"/>
        </w:rPr>
        <w:t>f</w:t>
      </w:r>
      <w:r>
        <w:rPr>
          <w:rFonts w:ascii="Arial" w:hAnsi="Arial" w:cs="Arial"/>
          <w:sz w:val="20"/>
          <w:vertAlign w:val="subscript"/>
        </w:rPr>
        <w:t>θ</w:t>
      </w:r>
      <w:r>
        <w:rPr>
          <w:rFonts w:ascii="Arial" w:hAnsi="Arial" w:cs="Arial"/>
          <w:sz w:val="20"/>
        </w:rPr>
        <w:t xml:space="preserve"> to regress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G</w:t>
      </w:r>
      <w:r>
        <w:rPr>
          <w:rFonts w:ascii="Arial" w:hAnsi="Arial" w:cs="Arial"/>
          <w:sz w:val="20"/>
        </w:rPr>
        <w:t xml:space="preserve"> from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M</w:t>
      </w:r>
      <w:r>
        <w:rPr>
          <w:rFonts w:ascii="Arial" w:hAnsi="Arial" w:cs="Arial"/>
          <w:sz w:val="20"/>
        </w:rPr>
        <w:t xml:space="preserve"> with the MSE loss in Equation 5. Adam, lr = 1e-3, 200 epochs, early stopping on a 10% overlap-user validation split.</w:t>
      </w:r>
    </w:p>
    <w:p w14:paraId="441C8D7B" w14:textId="77777777" w:rsidR="00FC3717" w:rsidRDefault="00000000">
      <w:pPr>
        <w:spacing w:before="120" w:after="0" w:line="276" w:lineRule="auto"/>
        <w:jc w:val="center"/>
      </w:pPr>
      <w:r>
        <w:rPr>
          <w:noProof/>
        </w:rPr>
        <w:drawing>
          <wp:inline distT="0" distB="0" distL="0" distR="0" wp14:anchorId="22257F52" wp14:editId="139239F8">
            <wp:extent cx="5303520" cy="10089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008905"/>
                    </a:xfrm>
                    <a:prstGeom prst="rect">
                      <a:avLst/>
                    </a:prstGeom>
                  </pic:spPr>
                </pic:pic>
              </a:graphicData>
            </a:graphic>
          </wp:inline>
        </w:drawing>
      </w:r>
    </w:p>
    <w:p w14:paraId="166C6F18" w14:textId="77777777" w:rsidR="00FC3717" w:rsidRDefault="00000000">
      <w:pPr>
        <w:spacing w:after="120" w:line="324" w:lineRule="auto"/>
        <w:jc w:val="center"/>
      </w:pPr>
      <w:r>
        <w:rPr>
          <w:rFonts w:ascii="Arial" w:hAnsi="Arial" w:cs="Arial"/>
          <w:i/>
          <w:sz w:val="20"/>
        </w:rPr>
        <w:t>Equation 5: EMCDR phase-3 mapping loss (MSE on overlap users).</w:t>
      </w:r>
    </w:p>
    <w:p w14:paraId="58EEA32A" w14:textId="77777777" w:rsidR="00FC3717" w:rsidRDefault="00000000">
      <w:pPr>
        <w:spacing w:after="120" w:line="324" w:lineRule="auto"/>
      </w:pPr>
      <w:r>
        <w:rPr>
          <w:rFonts w:ascii="Arial" w:hAnsi="Arial" w:cs="Arial"/>
          <w:sz w:val="20"/>
        </w:rPr>
        <w:t>where 𝒰ₒ is the set of overlap users; uᵤᴹ, uᵤᴳ are the user embeddings learned independently in Phases 1 and 2; f_θ is the MLP translator fit in Phase 3 by regressing the game-side vector from the movie-side vector.</w:t>
      </w:r>
    </w:p>
    <w:p w14:paraId="55F66BFB" w14:textId="77777777" w:rsidR="00FC3717" w:rsidRDefault="00000000">
      <w:pPr>
        <w:spacing w:before="120" w:after="0" w:line="276" w:lineRule="auto"/>
        <w:jc w:val="center"/>
      </w:pPr>
      <w:r>
        <w:rPr>
          <w:noProof/>
        </w:rPr>
        <w:drawing>
          <wp:inline distT="0" distB="0" distL="0" distR="0" wp14:anchorId="6BC69604" wp14:editId="3C75F6C3">
            <wp:extent cx="5303520" cy="3178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mcdr.png"/>
                    <pic:cNvPicPr/>
                  </pic:nvPicPr>
                  <pic:blipFill>
                    <a:blip r:embed="rId39"/>
                    <a:stretch>
                      <a:fillRect/>
                    </a:stretch>
                  </pic:blipFill>
                  <pic:spPr>
                    <a:xfrm>
                      <a:off x="0" y="0"/>
                      <a:ext cx="5303520" cy="3178405"/>
                    </a:xfrm>
                    <a:prstGeom prst="rect">
                      <a:avLst/>
                    </a:prstGeom>
                  </pic:spPr>
                </pic:pic>
              </a:graphicData>
            </a:graphic>
          </wp:inline>
        </w:drawing>
      </w:r>
    </w:p>
    <w:p w14:paraId="69996156" w14:textId="77777777" w:rsidR="00FC3717" w:rsidRDefault="00000000">
      <w:pPr>
        <w:spacing w:after="120" w:line="324" w:lineRule="auto"/>
        <w:jc w:val="center"/>
      </w:pPr>
      <w:r>
        <w:rPr>
          <w:rFonts w:ascii="Arial" w:hAnsi="Arial" w:cs="Arial"/>
          <w:i/>
          <w:sz w:val="20"/>
        </w:rPr>
        <w:t>Figure 14: EMCDR three-phase training — separate domain models, then a learned mapping network.</w:t>
      </w:r>
    </w:p>
    <w:p w14:paraId="7ED5326F" w14:textId="77777777" w:rsidR="00C60C22" w:rsidRDefault="00000000">
      <w:pPr>
        <w:pStyle w:val="Heading4"/>
        <w:spacing w:before="120" w:after="120" w:line="324" w:lineRule="auto"/>
        <w:rPr>
          <w:rFonts w:ascii="Arial" w:eastAsia="Arial" w:hAnsi="Arial" w:cs="Arial"/>
          <w:color w:val="191919"/>
          <w:sz w:val="20"/>
          <w:szCs w:val="20"/>
        </w:rPr>
      </w:pPr>
      <w:bookmarkStart w:id="14" w:name="_mpg2e83raonp" w:colFirst="0" w:colLast="0"/>
      <w:bookmarkEnd w:id="14"/>
      <w:r>
        <w:rPr>
          <w:rFonts w:ascii="Arial" w:eastAsia="Arial" w:hAnsi="Arial" w:cs="Arial"/>
          <w:color w:val="191919"/>
          <w:sz w:val="20"/>
          <w:szCs w:val="20"/>
        </w:rPr>
        <w:t>EMCDR Inference</w:t>
      </w:r>
    </w:p>
    <w:p w14:paraId="3C380253" w14:textId="77777777" w:rsidR="00FC3717" w:rsidRDefault="00000000">
      <w:pPr>
        <w:spacing w:after="120" w:line="324" w:lineRule="auto"/>
      </w:pPr>
      <w:r>
        <w:rPr>
          <w:rFonts w:ascii="Arial" w:hAnsi="Arial" w:cs="Arial"/>
          <w:sz w:val="20"/>
        </w:rPr>
        <w:t>Artifacts at inference: Vᴳ, Uᴹ, f_θ. For user u and game g, score(u, g) = f_θ(uᵤᴹ) · v_g. Uᴳ is never touched, so cold-start users (zero game history) are natively supported — this is why EMCDR shines in Lesson 6.</w:t>
      </w:r>
    </w:p>
    <w:p w14:paraId="4BBDFB13" w14:textId="77777777" w:rsidR="00FC3717" w:rsidRDefault="00000000">
      <w:pPr>
        <w:spacing w:before="120" w:after="0" w:line="276" w:lineRule="auto"/>
        <w:jc w:val="center"/>
      </w:pPr>
      <w:r>
        <w:rPr>
          <w:noProof/>
        </w:rPr>
        <w:lastRenderedPageBreak/>
        <w:drawing>
          <wp:inline distT="0" distB="0" distL="0" distR="0" wp14:anchorId="1488727B" wp14:editId="519C91C7">
            <wp:extent cx="5303520" cy="3225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_emcdr_inference.png"/>
                    <pic:cNvPicPr/>
                  </pic:nvPicPr>
                  <pic:blipFill>
                    <a:blip r:embed="rId40"/>
                    <a:stretch>
                      <a:fillRect/>
                    </a:stretch>
                  </pic:blipFill>
                  <pic:spPr>
                    <a:xfrm>
                      <a:off x="0" y="0"/>
                      <a:ext cx="5303520" cy="3225616"/>
                    </a:xfrm>
                    <a:prstGeom prst="rect">
                      <a:avLst/>
                    </a:prstGeom>
                  </pic:spPr>
                </pic:pic>
              </a:graphicData>
            </a:graphic>
          </wp:inline>
        </w:drawing>
      </w:r>
    </w:p>
    <w:p w14:paraId="5255E856" w14:textId="77777777" w:rsidR="00FC3717" w:rsidRDefault="00000000">
      <w:pPr>
        <w:spacing w:after="120" w:line="324" w:lineRule="auto"/>
        <w:jc w:val="center"/>
      </w:pPr>
      <w:r>
        <w:rPr>
          <w:rFonts w:ascii="Arial" w:hAnsi="Arial" w:cs="Arial"/>
          <w:i/>
          <w:sz w:val="20"/>
        </w:rPr>
        <w:t>Figure 14b: EMCDR inference — one forward pass through f_θ translates the user's movie vector into game space, then a dot product ranks every game.</w:t>
      </w:r>
    </w:p>
    <w:p>
      <w:pPr>
        <w:pStyle w:val="Heading3"/>
        <w:spacing w:after="120" w:line="324" w:lineRule="auto"/>
      </w:pPr>
      <w:r>
        <w:rPr>
          <w:rFonts w:ascii="Arial" w:eastAsia="Arial" w:hAnsi="Arial" w:cs="Arial"/>
          <w:color w:val="191919"/>
          <w:sz w:val="20"/>
          <w:szCs w:val="20"/>
        </w:rPr>
        <w:t>4.3.3 PTUPCDR: Personalized Transfer with Experts</w:t>
      </w:r>
    </w:p>
    <w:tbl>
      <w:tblPr>
        <w:tblW w:w="9406" w:type="dxa"/>
        <w:jc w:val="center"/>
        <w:tblInd w:w="0" w:type="dxa"/>
        <w:tblLayout w:type="fixed"/>
        <w:tblLook w:val="0600" w:firstRow="0" w:lastRow="0" w:firstColumn="0" w:lastColumn="0" w:noHBand="1" w:noVBand="1"/>
      </w:tblPr>
      <w:tblGrid>
        <w:gridCol w:w="9406"/>
      </w:tblGrid>
      <w:tr>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pPr>
              <w:spacing w:after="80" w:line="324" w:lineRule="auto"/>
            </w:pPr>
            <w:r>
              <w:rPr>
                <w:rFonts w:ascii="Arial" w:eastAsia="Arial" w:hAnsi="Arial" w:cs="Arial"/>
                <w:b/>
                <w:bCs/>
                <w:color w:val="191919"/>
                <w:sz w:val="20"/>
                <w:szCs w:val="20"/>
              </w:rPr>
              <w:t xml:space="preserve">Intuition — A Team of Specialist Translators.</w:t>
            </w:r>
          </w:p>
          <w:p>
            <w:pPr>
              <w:spacing w:after="80" w:line="324" w:lineRule="auto"/>
            </w:pPr>
            <w:r>
              <w:rPr>
                <w:rFonts w:ascii="Arial" w:eastAsia="Arial" w:hAnsi="Arial" w:cs="Arial"/>
                <w:color w:val="191919"/>
                <w:sz w:val="20"/>
                <w:szCs w:val="20"/>
              </w:rPr>
              <w:t xml:space="preserve">EMCDR uses one global translator to map every movie fan into game space. But a sci-fi lover and a rom-com fan don't translate the same way — averaging them loses information. PTUPCDR fixes this by hiring EIGHT specialist translators and a receptionist (the gate network). For every user, the gate reads their movie vector and decides which specialists to trust and by how much. A sci-fi fan is routed mostly through Expert 3; a comedy fan mostly through Expert 7. Every user now gets their own personalised translation rule, not one-size-fits-all.</w:t>
            </w:r>
          </w:p>
        </w:tc>
      </w:tr>
    </w:tbl>
    <w:p>
      <w:pPr>
        <w:spacing w:after="120" w:line="324" w:lineRule="auto"/>
      </w:pPr>
      <w:r>
        <w:rPr>
          <w:rFonts w:ascii="Arial" w:eastAsia="Arial" w:hAnsi="Arial" w:cs="Arial"/>
          <w:sz w:val="20"/>
          <w:color w:val="191919"/>
        </w:rPr>
        <w:t xml:space="preserve"/>
      </w:r>
    </w:p>
    <w:p>
      <w:pPr>
        <w:spacing w:after="120" w:line="324" w:lineRule="auto"/>
      </w:pPr>
      <w:r>
        <w:rPr>
          <w:rFonts w:ascii="Arial" w:eastAsia="Arial" w:hAnsi="Arial" w:cs="Arial"/>
          <w:sz w:val="20"/>
          <w:color w:val="191919"/>
        </w:rPr>
        <w:t xml:space="preserve">PTUPCDR keeps EMCDR's three-phase recipe but upgrades Phase 3: the single MLP translator f_θ is replaced by a mixture of K = 8 expert MLPs, steered by a gating network that produces per-user expert weights. Training data and evaluation protocol are identical to EMCDR — the only thing that changes is how movie-space vectors are translated into game space.</w:t>
      </w:r>
    </w:p>
    <w:p>
      <w:pPr>
        <w:pStyle w:val="Heading4"/>
        <w:spacing w:before="180" w:after="120" w:line="324" w:lineRule="auto"/>
      </w:pPr>
      <w:r>
        <w:rPr>
          <w:rFonts w:ascii="Arial" w:eastAsia="Arial" w:hAnsi="Arial" w:cs="Arial"/>
          <w:color w:val="191919"/>
          <w:sz w:val="20"/>
          <w:szCs w:val="20"/>
        </w:rPr>
        <w:t>PTUPCDR Architecture</w:t>
      </w:r>
    </w:p>
    <w:p>
      <w:pPr>
        <w:spacing w:after="120" w:line="324" w:lineRule="auto"/>
      </w:pPr>
      <w:r>
        <w:rPr>
          <w:rFonts w:ascii="Arial" w:eastAsia="Arial" w:hAnsi="Arial" w:cs="Arial"/>
          <w:sz w:val="20"/>
          <w:color w:val="191919"/>
        </w:rPr>
        <w:t xml:space="preserve">The translator is no longer a single function. At inference time the pipeline has five steps: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00"/>
        <w:gridCol w:w="8506"/>
      </w:tblGrid>
      <w:tr>
        <w:tc>
          <w:tcPr>
            <w:tcW w:type="dxa" w:w="9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jc w:val="center"/>
            </w:pPr>
            <w:r>
              <w:rPr>
                <w:rFonts w:ascii="Arial" w:eastAsia="Arial" w:hAnsi="Arial" w:cs="Arial"/>
                <w:b/>
                <w:bCs/>
                <w:color w:val="2E7D8C"/>
                <w:sz w:val="28"/>
                <w:szCs w:val="28"/>
              </w:rPr>
              <w:t xml:space="preserve">1</w:t>
            </w:r>
          </w:p>
        </w:tc>
        <w:tc>
          <w:tcPr>
            <w:tcW w:type="dxa" w:w="8506"/>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pPr>
              <w:spacing w:after="0" w:line="300"/>
            </w:pPr>
            <w:r>
              <w:rPr>
                <w:rFonts w:ascii="Arial" w:eastAsia="Arial" w:hAnsi="Arial" w:cs="Arial"/>
                <w:b/>
                <w:bCs/>
                <w:color w:val="191919"/>
                <w:sz w:val="20"/>
                <w:szCs w:val="20"/>
              </w:rPr>
              <w:t xml:space="preserve">Input</w:t>
            </w:r>
            <w:r>
              <w:rPr>
                <w:rFonts w:ascii="Arial" w:eastAsia="Arial" w:hAnsi="Arial" w:cs="Arial"/>
                <w:color w:val="191919"/>
                <w:sz w:val="20"/>
                <w:szCs w:val="20"/>
              </w:rPr>
              <w:t xml:space="preserve">   —   The user's movie-side embedding u^M (64-dim) is produced by MF-BPR on movies (exactly as in EMCDR).</w:t>
            </w:r>
          </w:p>
        </w:tc>
      </w:tr>
      <w:tr>
        <w:tc>
          <w:tcPr>
            <w:tcW w:type="dxa" w:w="9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jc w:val="center"/>
            </w:pPr>
            <w:r>
              <w:rPr>
                <w:rFonts w:ascii="Arial" w:eastAsia="Arial" w:hAnsi="Arial" w:cs="Arial"/>
                <w:b/>
                <w:bCs/>
                <w:color w:val="2E7D8C"/>
                <w:sz w:val="28"/>
                <w:szCs w:val="28"/>
              </w:rPr>
              <w:t xml:space="preserve">2</w:t>
            </w:r>
          </w:p>
        </w:tc>
        <w:tc>
          <w:tcPr>
            <w:tcW w:type="dxa" w:w="8506"/>
            <w:tcBorders>
              <w:top w:val="single" w:color="D9E2EC" w:sz="4"/>
              <w:left w:val="single" w:color="D9E2EC" w:sz="4"/>
              <w:bottom w:val="single" w:color="D9E2EC" w:sz="4"/>
              <w:right w:val="single" w:color="D9E2EC" w:sz="4"/>
            </w:tcBorders>
            <w:tcMar>
              <w:top w:type="dxa" w:w="120"/>
              <w:left w:type="dxa" w:w="160"/>
              <w:bottom w:type="dxa" w:w="120"/>
              <w:right w:type="dxa" w:w="160"/>
            </w:tcMar>
          </w:tcPr>
          <w:p>
            <w:pPr>
              <w:spacing w:after="0" w:line="300"/>
            </w:pPr>
            <w:r>
              <w:rPr>
                <w:rFonts w:ascii="Arial" w:eastAsia="Arial" w:hAnsi="Arial" w:cs="Arial"/>
                <w:b/>
                <w:bCs/>
                <w:color w:val="191919"/>
                <w:sz w:val="20"/>
                <w:szCs w:val="20"/>
              </w:rPr>
              <w:t xml:space="preserve">Gate</w:t>
            </w:r>
            <w:r>
              <w:rPr>
                <w:rFonts w:ascii="Arial" w:eastAsia="Arial" w:hAnsi="Arial" w:cs="Arial"/>
                <w:color w:val="191919"/>
                <w:sz w:val="20"/>
                <w:szCs w:val="20"/>
              </w:rPr>
              <w:t xml:space="preserve">   —   A small linear layer with softmax, g(u^M) = softmax(W_g · u^M), outputs K = 8 gate weights g_1, …, g_8 that sum to 1. Large g_k means “trust Expert k a lot for this user.”</w:t>
            </w:r>
          </w:p>
        </w:tc>
      </w:tr>
      <w:tr>
        <w:tc>
          <w:tcPr>
            <w:tcW w:type="dxa" w:w="9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jc w:val="center"/>
            </w:pPr>
            <w:r>
              <w:rPr>
                <w:rFonts w:ascii="Arial" w:eastAsia="Arial" w:hAnsi="Arial" w:cs="Arial"/>
                <w:b/>
                <w:bCs/>
                <w:color w:val="2E7D8C"/>
                <w:sz w:val="28"/>
                <w:szCs w:val="28"/>
              </w:rPr>
              <w:t xml:space="preserve">3</w:t>
            </w:r>
          </w:p>
        </w:tc>
        <w:tc>
          <w:tcPr>
            <w:tcW w:type="dxa" w:w="8506"/>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pPr>
              <w:spacing w:after="0" w:line="300"/>
            </w:pPr>
            <w:r>
              <w:rPr>
                <w:rFonts w:ascii="Arial" w:eastAsia="Arial" w:hAnsi="Arial" w:cs="Arial"/>
                <w:b/>
                <w:bCs/>
                <w:color w:val="191919"/>
                <w:sz w:val="20"/>
                <w:szCs w:val="20"/>
              </w:rPr>
              <w:t xml:space="preserve">Experts</w:t>
            </w:r>
            <w:r>
              <w:rPr>
                <w:rFonts w:ascii="Arial" w:eastAsia="Arial" w:hAnsi="Arial" w:cs="Arial"/>
                <w:color w:val="191919"/>
                <w:sz w:val="20"/>
                <w:szCs w:val="20"/>
              </w:rPr>
              <w:t xml:space="preserve">   —   Eight independent MLPs f_1, …, f_8 each map u^M from movie space to game space. They have the same architecture but learn different specialisations during training.</w:t>
            </w:r>
          </w:p>
        </w:tc>
      </w:tr>
      <w:tr>
        <w:tc>
          <w:tcPr>
            <w:tcW w:type="dxa" w:w="900"/>
            <w:tcBorders>
              <w:top w:val="single" w:color="D9E2EC" w:sz="4"/>
              <w:left w:val="single" w:color="D9E2EC" w:sz="4"/>
              <w:bottom w:val="single" w:color="D9E2EC" w:sz="4"/>
              <w:right w:val="single" w:color="D9E2EC" w:sz="4"/>
            </w:tcBorders>
            <w:tcMar>
              <w:top w:type="dxa" w:w="120"/>
              <w:left w:type="dxa" w:w="160"/>
              <w:bottom w:type="dxa" w:w="120"/>
              <w:right w:type="dxa" w:w="160"/>
            </w:tcMar>
            <w:vAlign w:val="center"/>
          </w:tcPr>
          <w:p>
            <w:pPr>
              <w:spacing w:after="0"/>
              <w:jc w:val="center"/>
            </w:pPr>
            <w:r>
              <w:rPr>
                <w:rFonts w:ascii="Arial" w:eastAsia="Arial" w:hAnsi="Arial" w:cs="Arial"/>
                <w:b/>
                <w:bCs/>
                <w:color w:val="2E7D8C"/>
                <w:sz w:val="28"/>
                <w:szCs w:val="28"/>
              </w:rPr>
              <w:t xml:space="preserve">4</w:t>
            </w:r>
          </w:p>
        </w:tc>
        <w:tc>
          <w:tcPr>
            <w:tcW w:type="dxa" w:w="8506"/>
            <w:tcBorders>
              <w:top w:val="single" w:color="D9E2EC" w:sz="4"/>
              <w:left w:val="single" w:color="D9E2EC" w:sz="4"/>
              <w:bottom w:val="single" w:color="D9E2EC" w:sz="4"/>
              <w:right w:val="single" w:color="D9E2EC" w:sz="4"/>
            </w:tcBorders>
            <w:tcMar>
              <w:top w:type="dxa" w:w="120"/>
              <w:left w:type="dxa" w:w="160"/>
              <w:bottom w:type="dxa" w:w="120"/>
              <w:right w:type="dxa" w:w="160"/>
            </w:tcMar>
          </w:tcPr>
          <w:p>
            <w:pPr>
              <w:spacing w:after="0" w:line="300"/>
            </w:pPr>
            <w:r>
              <w:rPr>
                <w:rFonts w:ascii="Arial" w:eastAsia="Arial" w:hAnsi="Arial" w:cs="Arial"/>
                <w:b/>
                <w:bCs/>
                <w:color w:val="191919"/>
                <w:sz w:val="20"/>
                <w:szCs w:val="20"/>
              </w:rPr>
              <w:t xml:space="preserve">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tc>
          <w:tcPr>
            <w:tcW w:type="dxa" w:w="9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vAlign w:val="center"/>
          </w:tcPr>
          <w:p>
            <w:pPr>
              <w:spacing w:after="0"/>
              <w:jc w:val="center"/>
            </w:pPr>
            <w:r>
              <w:rPr>
                <w:rFonts w:ascii="Arial" w:eastAsia="Arial" w:hAnsi="Arial" w:cs="Arial"/>
                <w:b/>
                <w:bCs/>
                <w:color w:val="2E7D8C"/>
                <w:sz w:val="28"/>
                <w:szCs w:val="28"/>
              </w:rPr>
              <w:t xml:space="preserve">5</w:t>
            </w:r>
          </w:p>
        </w:tc>
        <w:tc>
          <w:tcPr>
            <w:tcW w:type="dxa" w:w="8506"/>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pPr>
              <w:spacing w:after="0" w:line="300"/>
            </w:pPr>
            <w:r>
              <w:rPr>
                <w:rFonts w:ascii="Arial" w:eastAsia="Arial" w:hAnsi="Arial" w:cs="Arial"/>
                <w:b/>
                <w:bCs/>
                <w:color w:val="191919"/>
                <w:sz w:val="20"/>
                <w:szCs w:val="20"/>
              </w:rPr>
              <w:t xml:space="preserve">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pPr>
        <w:spacing w:after="120" w:line="324" w:lineRule="auto"/>
      </w:pPr>
      <w:r>
        <w:rPr>
          <w:rFonts w:ascii="Arial" w:eastAsia="Arial" w:hAnsi="Arial" w:cs="Arial"/>
          <w:sz w:val="20"/>
          <w:color w:val="191919"/>
        </w:rPr>
        <w:t xml:space="preserve"/>
      </w:r>
    </w:p>
    <w:p>
      <w:pPr>
        <w:spacing w:before="120" w:after="0" w:line="276" w:lineRule="auto"/>
        <w:jc w:val="center"/>
      </w:pPr>
      <w:r>
        <w:rPr>
          <w:noProof/>
        </w:rPr>
        <w:drawing>
          <wp:inline distT="0" distB="0" distL="0" distR="0">
            <wp:extent cx="5800000" cy="2425000"/>
            <wp:effectExtent l="0" t="0" r="0" b="0"/>
            <wp:docPr id="95" name="fig15_ptup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tupcdr.png"/>
                    <pic:cNvPicPr/>
                  </pic:nvPicPr>
                  <pic:blipFill>
                    <a:blip r:embed="rId42"/>
                    <a:stretch>
                      <a:fillRect/>
                    </a:stretch>
                  </pic:blipFill>
                  <pic:spPr>
                    <a:xfrm>
                      <a:off x="0" y="0"/>
                      <a:ext cx="5800000" cy="2425000"/>
                    </a:xfrm>
                    <a:prstGeom prst="rect">
                      <a:avLst/>
                    </a:prstGeom>
                  </pic:spPr>
                </pic:pic>
              </a:graphicData>
            </a:graphic>
          </wp:inline>
        </w:drawing>
      </w:r>
    </w:p>
    <w:p>
      <w:pPr>
        <w:spacing w:after="240" w:line="324" w:lineRule="auto"/>
        <w:jc w:val="center"/>
      </w:pPr>
      <w:r>
        <w:rPr>
          <w:rFonts w:ascii="Arial" w:hAnsi="Arial" w:cs="Arial"/>
          <w:i/>
          <w:iCs/>
          <w:color w:val="52606D"/>
          <w:sz w:val="20"/>
        </w:rPr>
        <w:t>Figure 15: PTUPCDR architecture — the gate routes the user's movie vector through a weighted blend of 8 expert MLPs, then the resulting personalised game-space vector is scored against every game by dot product.</w:t>
      </w:r>
    </w:p>
    <w:p>
      <w:pPr>
        <w:pStyle w:val="Heading4"/>
        <w:spacing w:before="180" w:after="120" w:line="324" w:lineRule="auto"/>
      </w:pPr>
      <w:r>
        <w:rPr>
          <w:rFonts w:ascii="Arial" w:eastAsia="Arial" w:hAnsi="Arial" w:cs="Arial"/>
          <w:color w:val="191919"/>
          <w:sz w:val="20"/>
          <w:szCs w:val="20"/>
        </w:rPr>
        <w:t>PTUPCDR Training</w:t>
      </w:r>
    </w:p>
    <w:p>
      <w:pPr>
        <w:spacing w:after="120" w:line="324" w:lineRule="auto"/>
      </w:pPr>
      <w:r>
        <w:rPr>
          <w:rFonts w:ascii="Arial" w:eastAsia="Arial" w:hAnsi="Arial" w:cs="Arial"/>
          <w:b/>
          <w:bCs/>
          <w:sz w:val="20"/>
          <w:color w:val="191919"/>
        </w:rPr>
        <w:t xml:space="preserve">Phases 1 and 2 are identical to EMCDR: </w:t>
      </w:r>
      <w:r>
        <w:rPr>
          <w:rFonts w:ascii="Arial" w:eastAsia="Arial" w:hAnsi="Arial" w:cs="Arial"/>
          <w:sz w:val="20"/>
          <w:color w:val="191919"/>
        </w:rPr>
        <w:t xml:space="preserve">train MF-BPR independently on movies to get Uᴹ, Vᴹ, then a second MF-BPR on games to get Uᴳ, Vᴳ. </w:t>
      </w:r>
      <w:r>
        <w:rPr>
          <w:rFonts w:ascii="Arial" w:eastAsia="Arial" w:hAnsi="Arial" w:cs="Arial"/>
          <w:b/>
          <w:bCs/>
          <w:sz w:val="20"/>
          <w:color w:val="191919"/>
        </w:rPr>
        <w:t xml:space="preserve">Phase 3 — fit the experts and gate. </w:t>
      </w:r>
      <w:r>
        <w:rPr>
          <w:rFonts w:ascii="Arial" w:eastAsia="Arial" w:hAnsi="Arial" w:cs="Arial"/>
          <w:sz w:val="20"/>
          <w:color w:val="191919"/>
        </w:rPr>
        <w:t xml:space="preserve">Freeze both MF-BPR models. On the overlap users only, optimise {f_k}_{k=1..8} and W_g jointly to minimise the MSE between the predicted F(uᵤᴹ) and the user's actual game-side vector uᵤᴳ (Equation 6). Optimiser: Adam, lr = 1e-3, 200 epochs, early stopping on a 10% overlap-user validation split.</w:t>
      </w:r>
    </w:p>
    <w:p>
      <w:pPr>
        <w:spacing w:before="120" w:after="0" w:line="276" w:lineRule="auto"/>
        <w:jc w:val="center"/>
      </w:pPr>
      <w:r>
        <w:rPr>
          <w:noProof/>
        </w:rPr>
        <w:drawing>
          <wp:inline distT="0" distB="0" distL="0" distR="0">
            <wp:extent cx="5303520" cy="953077"/>
            <wp:effectExtent l="0" t="0" r="0" b="0"/>
            <wp:docPr id="95" name="fig15_ptup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tupcdr.png"/>
                    <pic:cNvPicPr/>
                  </pic:nvPicPr>
                  <pic:blipFill>
                    <a:blip r:embed="rId41"/>
                    <a:stretch>
                      <a:fillRect/>
                    </a:stretch>
                  </pic:blipFill>
                  <pic:spPr>
                    <a:xfrm>
                      <a:off x="0" y="0"/>
                      <a:ext cx="5303520" cy="953077"/>
                    </a:xfrm>
                    <a:prstGeom prst="rect">
                      <a:avLst/>
                    </a:prstGeom>
                  </pic:spPr>
                </pic:pic>
              </a:graphicData>
            </a:graphic>
          </wp:inline>
        </w:drawing>
      </w:r>
    </w:p>
    <w:p>
      <w:pPr>
        <w:spacing w:after="240" w:line="324" w:lineRule="auto"/>
        <w:jc w:val="center"/>
      </w:pPr>
      <w:r>
        <w:rPr>
          <w:rFonts w:ascii="Arial" w:hAnsi="Arial" w:cs="Arial"/>
          <w:i/>
          <w:iCs/>
          <w:color w:val="52606D"/>
          <w:sz w:val="20"/>
        </w:rPr>
        <w:t>Equation 6: PTUPCDR mixture-of-experts personalised mapping loss.</w:t>
      </w:r>
    </w:p>
    <w:p>
      <w:pPr>
        <w:spacing w:after="120" w:line="324" w:lineRule="auto"/>
      </w:pPr>
      <w:r>
        <w:rPr>
          <w:rFonts w:ascii="Arial" w:eastAsia="Arial" w:hAnsi="Arial" w:cs="Arial"/>
          <w:sz w:val="20"/>
          <w:color w:val="191919"/>
        </w:rPr>
        <w:t xml:space="preserve">where 𝒰ₒ is the set of overlap users, f_k is the k-th expert MLP (K = 8), and g_k = softmax(W_g · uᵤᴹ)_k is the k-th gate weight. Each user's movie-side vector is routed through its own expert mix — a user-specific translation rule that a single global f_θ (EMCDR) cannot produce.</w:t>
      </w:r>
    </w:p>
    <w:p>
      <w:pPr>
        <w:pStyle w:val="Heading4"/>
        <w:spacing w:before="180" w:after="120" w:line="324" w:lineRule="auto"/>
      </w:pPr>
      <w:r>
        <w:rPr>
          <w:rFonts w:ascii="Arial" w:eastAsia="Arial" w:hAnsi="Arial" w:cs="Arial"/>
          <w:color w:val="191919"/>
          <w:sz w:val="20"/>
          <w:szCs w:val="20"/>
        </w:rPr>
        <w:t>PTUPCDR Inference</w:t>
      </w:r>
    </w:p>
    <w:p>
      <w:pPr>
        <w:spacing w:after="120" w:line="324" w:lineRule="auto"/>
      </w:pPr>
      <w:r>
        <w:rPr>
          <w:rFonts w:ascii="Arial" w:eastAsia="Arial" w:hAnsi="Arial" w:cs="Arial"/>
          <w:sz w:val="20"/>
          <w:color w:val="191919"/>
        </w:rPr>
        <w:t xml:space="preserve">Artifacts at inference: Vᴳ (game embeddings from Phase 2), {f_k} and W_g (the experts and gate from Phase 3). For user u: compute the gate weights g = softmax(W_g · uᵤᴹ), run each of the 8 expert MLPs on uᵤᴹ, weight-sum to get F(uᵤᴹ), then score every game by F(uᵤᴹ) · v_g and return the top-K. Like EMCDR, Uᴳ is never touched, so users with zero game history are natively supported.</w:t>
      </w:r>
    </w:p>
    <w:p>
      <w:pPr>
        <w:spacing w:after="120" w:line="324" w:lineRule="auto"/>
      </w:pPr>
      <w:r>
        <w:rPr>
          <w:rFonts w:ascii="Arial" w:eastAsia="Arial" w:hAnsi="Arial" w:cs="Arial"/>
          <w:sz w:val="20"/>
          <w:color w:val="191919"/>
        </w:rPr>
        <w:t xml:space="preserve">If the user already has game history, F(uᵤᴹ) can be linearly blended with the user's learned uᵤᴳ via a scalar w — recovering a pure-in-domain baseline when w = 0 and a pure cross-domain translation when w = 1.</w:t>
      </w:r>
    </w:p>
    <w:p>
      <w:pPr>
        <w:spacing w:after="120" w:line="324" w:lineRule="auto"/>
      </w:pPr>
      <w:r>
        <w:rPr>
          <w:rFonts w:ascii="Arial" w:eastAsia="Arial" w:hAnsi="Arial" w:cs="Arial"/>
          <w:sz w:val="20"/>
          <w:color w:val="191919"/>
        </w:rPr>
        <w:t xml:space="preserve"/>
      </w:r>
    </w:p>
    <w:tbl>
      <w:tblPr>
        <w:tblW w:w="9406" w:type="dxa"/>
        <w:jc w:val="center"/>
        <w:tblInd w:w="0" w:type="dxa"/>
        <w:tblLayout w:type="fixed"/>
        <w:tblLook w:val="0600" w:firstRow="0" w:lastRow="0" w:firstColumn="0" w:lastColumn="0" w:noHBand="1" w:noVBand="1"/>
      </w:tblPr>
      <w:tblGrid>
        <w:gridCol w:w="9406"/>
      </w:tblGrid>
      <w:tr>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pPr>
              <w:spacing w:after="80" w:line="324" w:lineRule="auto"/>
            </w:pPr>
            <w:r>
              <w:rPr>
                <w:rFonts w:ascii="Arial" w:eastAsia="Arial" w:hAnsi="Arial" w:cs="Arial"/>
                <w:b/>
                <w:bCs/>
                <w:color w:val="191919"/>
                <w:sz w:val="20"/>
                <w:szCs w:val="20"/>
              </w:rPr>
              <w:t xml:space="preserve">Key takeaway — why PTUPCDR beats EMCDR (when it has enough overlap users).</w:t>
            </w:r>
          </w:p>
          <w:p>
            <w:pPr>
              <w:spacing w:after="80" w:line="324" w:lineRule="auto"/>
            </w:pPr>
            <w:r>
              <w:rPr>
                <w:rFonts w:ascii="Arial" w:eastAsia="Arial" w:hAnsi="Arial" w:cs="Arial"/>
                <w:color w:val="191919"/>
                <w:sz w:val="20"/>
                <w:szCs w:val="20"/>
              </w:rPr>
              <w:t xml:space="preserve">EMCDR forces every user through the same mapping; PTUPCDR lets different users take different routes through eight specialists. On the 100%-overlap cohort in Lesson 3, this personalisation lifts Recall@10 from 0.023 (EMCDR) to 0.032 (PTUPCDR) — a 1.4× gain. But on the 5%-overlap mixed cohort in Lesson 2, PTUPCDR has too few bridge users to train 8 experts reliably and actually underperforms EMCDR (0.0085 vs 0.0160). The pattern is clear: more personalisation needs more overlap data.</w:t>
            </w:r>
          </w:p>
        </w:tc>
      </w:tr>
    </w:tbl>
    <w:tbl>
      <w:tblPr>
        <w:tblStyle w:val="af5"/>
        <w:tblW w:w="9406" w:type="dxa"/>
        <w:jc w:val="center"/>
        <w:tblInd w:w="0" w:type="dxa"/>
        <w:tblLayout w:type="fixed"/>
        <w:tblLook w:val="0400" w:firstRow="0" w:lastRow="0" w:firstColumn="0" w:lastColumn="0" w:noHBand="0" w:noVBand="1"/>
      </w:tblPr>
      <w:tblGrid>
        <w:gridCol w:w="9406"/>
      </w:tblGrid>
      <w:tr w:rsidR="00C60C22" w14:paraId="32566F8C"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4736A0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15BA9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tbl>
      <w:tblPr>
        <w:tblStyle w:val="af6"/>
        <w:tblW w:w="9406" w:type="dxa"/>
        <w:jc w:val="center"/>
        <w:tblInd w:w="0" w:type="dxa"/>
        <w:tblLayout w:type="fixed"/>
        <w:tblLook w:val="0600" w:firstRow="0" w:lastRow="0" w:firstColumn="0" w:lastColumn="0" w:noHBand="1" w:noVBand="1"/>
      </w:tblPr>
      <w:tblGrid>
        <w:gridCol w:w="9406"/>
      </w:tblGrid>
      <w:tr w:rsidR="00C60C22" w14:paraId="305E0E08"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390212B8"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1F94F3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tbl>
      <w:tblPr>
        <w:tblStyle w:val="af7"/>
        <w:tblW w:w="9406" w:type="dxa"/>
        <w:jc w:val="center"/>
        <w:tblInd w:w="0" w:type="dxa"/>
        <w:tblLayout w:type="fixed"/>
        <w:tblLook w:val="0400" w:firstRow="0" w:lastRow="0" w:firstColumn="0" w:lastColumn="0" w:noHBand="0" w:noVBand="1"/>
      </w:tblPr>
      <w:tblGrid>
        <w:gridCol w:w="9406"/>
      </w:tblGrid>
      <w:tr w:rsidR="00C60C22" w14:paraId="7852FBEA"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234D215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8ADA972" wp14:editId="294A47BE">
                  <wp:extent cx="5303520" cy="195464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303520" cy="1954648"/>
                          </a:xfrm>
                          <a:prstGeom prst="rect">
                            <a:avLst/>
                          </a:prstGeom>
                          <a:ln/>
                        </pic:spPr>
                      </pic:pic>
                    </a:graphicData>
                  </a:graphic>
                </wp:inline>
              </w:drawing>
            </w:r>
          </w:p>
          <w:p w14:paraId="61042D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22972D7B" w14:textId="77777777" w:rsidR="00C60C22" w:rsidRDefault="00C60C22">
      <w:pPr>
        <w:spacing w:after="120" w:line="324" w:lineRule="auto"/>
        <w:rPr>
          <w:rFonts w:ascii="Arial" w:eastAsia="Arial" w:hAnsi="Arial" w:cs="Arial"/>
          <w:color w:val="191919"/>
          <w:sz w:val="20"/>
          <w:szCs w:val="20"/>
        </w:rPr>
      </w:pPr>
    </w:p>
    <w:tbl>
      <w:tblPr>
        <w:tblStyle w:val="af9"/>
        <w:tblW w:w="9406" w:type="dxa"/>
        <w:jc w:val="center"/>
        <w:tblInd w:w="0" w:type="dxa"/>
        <w:tblLayout w:type="fixed"/>
        <w:tblLook w:val="0600" w:firstRow="0" w:lastRow="0" w:firstColumn="0" w:lastColumn="0" w:noHBand="1" w:noVBand="1"/>
      </w:tblPr>
      <w:tblGrid>
        <w:gridCol w:w="9406"/>
      </w:tblGrid>
      <w:tr w:rsidR="00C60C22" w14:paraId="7BCAAD7E"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60D46EFE"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Analogy — Maya’s Sticky-Note Tally</w:t>
            </w:r>
          </w:p>
          <w:p w14:paraId="50B2F0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296EC05F" w14:textId="77777777" w:rsidR="00C60C22" w:rsidRDefault="00C60C22">
      <w:pPr>
        <w:spacing w:after="120" w:line="324" w:lineRule="auto"/>
        <w:rPr>
          <w:rFonts w:ascii="Arial" w:eastAsia="Arial" w:hAnsi="Arial" w:cs="Arial"/>
          <w:color w:val="191919"/>
          <w:sz w:val="20"/>
          <w:szCs w:val="20"/>
        </w:rPr>
      </w:pPr>
    </w:p>
    <w:tbl>
      <w:tblPr>
        <w:tblStyle w:val="afa"/>
        <w:tblW w:w="9406" w:type="dxa"/>
        <w:jc w:val="center"/>
        <w:tblInd w:w="0" w:type="dxa"/>
        <w:tblLayout w:type="fixed"/>
        <w:tblLook w:val="0400" w:firstRow="0" w:lastRow="0" w:firstColumn="0" w:lastColumn="0" w:noHBand="0" w:noVBand="1"/>
      </w:tblPr>
      <w:tblGrid>
        <w:gridCol w:w="9406"/>
      </w:tblGrid>
      <w:tr w:rsidR="00C60C22" w14:paraId="57352AF9"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18D6D1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1AF08E2" wp14:editId="52F49D2B">
                  <wp:extent cx="5303520" cy="195464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303520" cy="1954648"/>
                          </a:xfrm>
                          <a:prstGeom prst="rect">
                            <a:avLst/>
                          </a:prstGeom>
                          <a:ln/>
                        </pic:spPr>
                      </pic:pic>
                    </a:graphicData>
                  </a:graphic>
                </wp:inline>
              </w:drawing>
            </w:r>
          </w:p>
          <w:p w14:paraId="042695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2DBE6D92" w14:textId="77777777" w:rsidR="00C60C22" w:rsidRDefault="00C60C22">
      <w:pPr>
        <w:spacing w:after="120" w:line="324" w:lineRule="auto"/>
        <w:rPr>
          <w:rFonts w:ascii="Arial" w:eastAsia="Arial" w:hAnsi="Arial" w:cs="Arial"/>
          <w:color w:val="191919"/>
          <w:sz w:val="20"/>
          <w:szCs w:val="20"/>
        </w:rPr>
      </w:pPr>
    </w:p>
    <w:p w14:paraId="7D7E4F14"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5. Experiments and Results</w:t>
      </w:r>
    </w:p>
    <w:p w14:paraId="71ACB8AF" w14:textId="77777777" w:rsidR="00C60C22" w:rsidRDefault="00000000">
      <w:pPr>
        <w:spacing w:after="120" w:line="324" w:lineRule="auto"/>
        <w:rPr>
          <w:rFonts w:ascii="Arial" w:eastAsia="Arial" w:hAnsi="Arial" w:cs="Arial"/>
          <w:color w:val="191919"/>
          <w:sz w:val="20"/>
          <w:szCs w:val="20"/>
        </w:rPr>
      </w:pPr>
      <w:r>
        <w:t>Each lesson isolates a single experimental variable to build understanding incrementally. We report Recall@10 (full-rank) as the primary metric; sampled HR@10 appears where relevant. Table 6 summarises the eight lessons; every per-lesson section below follows a uniform layout — opening question, data changes with deltas, illustration, benchmark graph, findings graph, and a connecting hook to the next lesson.</w:t>
      </w:r>
    </w:p>
    <w:p>
      <w:pPr>
        <w:pStyle w:val="Heading1"/>
        <w:spacing w:after="120" w:before="0"/>
      </w:pPr>
      <w:r>
        <w:rPr>
          <w:b/>
          <w:bCs/>
          <w:color w:val="2E5AAC"/>
          <w:sz w:val="32"/>
          <w:szCs w:val="32"/>
          <w:rFonts w:ascii="Arial" w:eastAsia="Arial" w:hAnsi="Arial" w:cs="Arial"/>
        </w:rPr>
        <w:t xml:space="preserve">5.1  </w:t>
      </w:r>
      <w:r>
        <w:rPr>
          <w:b/>
          <w:bCs/>
          <w:color w:val="1F2933"/>
          <w:sz w:val="32"/>
          <w:szCs w:val="32"/>
          <w:rFonts w:ascii="Arial" w:eastAsia="Arial" w:hAnsi="Arial" w:cs="Arial"/>
        </w:rPr>
        <w:t xml:space="preserve">Lesson 1: Explicit vs Implicit Ranking</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Predicting a 1–5 rating is fundamentally different from ranking items a user picked over ones they skipped.</w:t>
      </w:r>
    </w:p>
    <w:p>
      <w:pPr>
        <w:spacing w:after="280" w:line="320"/>
      </w:pPr>
      <w:r>
        <w:rPr>
          <w:color w:val="1F2933"/>
          <w:rFonts w:ascii="Arial" w:eastAsia="Arial" w:hAnsi="Arial" w:cs="Arial"/>
        </w:rPr>
        <w:t xml:space="preserve">This lesson shows how choosing the wrong loss function on implicit-feedback data can silently poison every downstream comparison.</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Will the implicit ranking objective (BPR) outperform the explicit point-predicting approach (SVD) on Recall@10?</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We train the same matrix-factorisation architecture twice on identical data — </w:t>
      </w:r>
      <w:r>
        <w:rPr>
          <w:b/>
          <w:bCs/>
          <w:color w:val="1F2933"/>
          <w:rFonts w:ascii="Arial" w:eastAsia="Arial" w:hAnsi="Arial" w:cs="Arial"/>
        </w:rPr>
        <w:t xml:space="preserve">once minimising RMSE regression loss, once minimising BPR pairwise ranking loss</w:t>
      </w:r>
      <w:r>
        <w:rPr>
          <w:color w:val="1F2933"/>
          <w:rFonts w:ascii="Arial" w:eastAsia="Arial" w:hAnsi="Arial" w:cs="Arial"/>
        </w:rPr>
        <w:t xml:space="preserve"> — and compare Recall@10.</w:t>
      </w:r>
    </w:p>
    <w:p>
      <w:pPr>
        <w:pStyle w:val="ListParagraph"/>
        <w:numPr>
          <w:ilvl w:val="0"/>
          <w:numId w:val="2"/>
        </w:numPr>
        <w:spacing w:after="80" w:line="300"/>
      </w:pPr>
      <w:r>
        <w:rPr>
          <w:b/>
          <w:bCs/>
          <w:color w:val="1F2933"/>
          <w:rFonts w:ascii="Arial" w:eastAsia="Arial" w:hAnsi="Arial" w:cs="Arial"/>
        </w:rPr>
        <w:t xml:space="preserve">MF-Explicit (SVD)</w:t>
      </w:r>
      <w:r>
        <w:rPr>
          <w:color w:val="52606D"/>
          <w:rFonts w:ascii="Arial" w:eastAsia="Arial" w:hAnsi="Arial" w:cs="Arial"/>
        </w:rPr>
        <w:t xml:space="preserve">  —  pointwise MSE loss</w:t>
      </w:r>
    </w:p>
    <w:p>
      <w:pPr>
        <w:pStyle w:val="ListParagraph"/>
        <w:numPr>
          <w:ilvl w:val="0"/>
          <w:numId w:val="2"/>
        </w:numPr>
        <w:spacing w:after="80" w:line="300"/>
      </w:pPr>
      <w:r>
        <w:rPr>
          <w:b/>
          <w:bCs/>
          <w:color w:val="1F2933"/>
          <w:rFonts w:ascii="Arial" w:eastAsia="Arial" w:hAnsi="Arial" w:cs="Arial"/>
        </w:rPr>
        <w:t xml:space="preserve">MF-BPR</w:t>
      </w:r>
      <w:r>
        <w:rPr>
          <w:color w:val="52606D"/>
          <w:rFonts w:ascii="Arial" w:eastAsia="Arial" w:hAnsi="Arial" w:cs="Arial"/>
        </w:rPr>
        <w:t xml:space="preserve">  —  pairwise BPR ranking loss</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full-rank Recall@10.</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155724"/>
          <w:sz w:val="16"/>
          <w:szCs w:val="16"/>
          <w:shd w:fill="D4EDDA" w:val="clear"/>
          <w:rFonts w:ascii="Arial" w:eastAsia="Arial" w:hAnsi="Arial" w:cs="Arial"/>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1,000,000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52,281 (5.2%)</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 game interactions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1.80M · 337K  (rating ≥ 4)</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Game items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11,706</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Item k-core</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movies ≥ 20, games ≥ 10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w:t>
      </w:r>
    </w:p>
    <w:p>
      <w:pPr>
        <w:spacing w:after="240" w:line="320"/>
      </w:pPr>
      <w:r>
        <w:rPr>
          <w:color w:val="1F2933"/>
          <w:rFonts w:ascii="Arial" w:eastAsia="Arial" w:hAnsi="Arial" w:cs="Arial"/>
        </w:rPr>
        <w:t xml:space="preserve">With positives collapsed to rating ≥ 4, </w:t>
      </w:r>
      <w:r>
        <w:rPr>
          <w:b/>
          <w:bCs/>
          <w:color w:val="1F2933"/>
          <w:rFonts w:ascii="Arial" w:eastAsia="Arial" w:hAnsi="Arial" w:cs="Arial"/>
        </w:rPr>
        <w:t xml:space="preserve">BPR extracts 5.2× more signal than MF-Explicit</w:t>
      </w:r>
      <w:r>
        <w:rPr>
          <w:color w:val="1F2933"/>
          <w:rFonts w:ascii="Arial" w:eastAsia="Arial" w:hAnsi="Arial" w:cs="Arial"/>
        </w:rPr>
        <w:t xml:space="preserve"> on Recall@10.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200"/>
        <w:gridCol w:w="2200"/>
      </w:tblGrid>
      <w:tr>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2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Loss Function</w:t>
            </w:r>
          </w:p>
        </w:tc>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NDCG@10</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2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BPR pairwise ranking</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0.0130</w:t>
            </w:r>
          </w:p>
        </w:tc>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0.0067</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MF-Explicit</w:t>
            </w:r>
          </w:p>
        </w:tc>
        <w:tc>
          <w:tcPr>
            <w:tcW w:type="dxa" w:w="2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RMSE on star ratings</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0.0025</w:t>
            </w:r>
          </w:p>
        </w:tc>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0.0010</w:t>
            </w:r>
          </w:p>
        </w:tc>
      </w:tr>
    </w:tbl>
    <w:p>
      <w:pPr>
        <w:spacing w:after="400" w:before="120"/>
      </w:pPr>
      <w:r>
        <w:rPr>
          <w:b/>
          <w:bCs/>
          <w:color w:val="2E5AAC"/>
          <w:spacing w:val="40"/>
          <w:sz w:val="16"/>
          <w:szCs w:val="16"/>
          <w:rFonts w:ascii="Arial" w:eastAsia="Arial" w:hAnsi="Arial" w:cs="Arial"/>
        </w:rPr>
        <w:t xml:space="preserve">TABLE L1</w:t>
      </w:r>
      <w:r>
        <w:t xml:space="preserve">   </w:t>
      </w:r>
      <w:r>
        <w:rPr>
          <w:i/>
          <w:iCs/>
          <w:color w:val="52606D"/>
          <w:sz w:val="18"/>
          <w:szCs w:val="18"/>
          <w:rFonts w:ascii="Arial" w:eastAsia="Arial" w:hAnsi="Arial" w:cs="Arial"/>
        </w:rPr>
        <w:t xml:space="preserve">Pointwise vs pairwise — Recall@10 and NDCG@10 on the shared cohort.</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5.2× win for BPR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0.0130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MF-Explicit</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153"/>
              <w:gridCol w:w="4847"/>
            </w:tblGrid>
            <w:tr>
              <w:trPr>
                <w:trHeight w:val="320" w:hRule="exact"/>
              </w:trPr>
              <w:tc>
                <w:tcPr>
                  <w:tcW w:type="dxa" w:w="1153"/>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847"/>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0.0025</w:t>
            </w:r>
          </w:p>
        </w:tc>
      </w:tr>
    </w:tbl>
    <w:p>
      <w:pPr>
        <w:spacing w:after="80" w:before="240"/>
      </w:pPr>
      <w:r>
        <w:rPr>
          <w:b/>
          <w:bCs/>
          <w:color w:val="1F2933"/>
          <w:sz w:val="22"/>
          <w:szCs w:val="22"/>
          <w:rFonts w:ascii="Arial" w:eastAsia="Arial" w:hAnsi="Arial" w:cs="Arial"/>
        </w:rPr>
        <w:t xml:space="preserve">NDCG@10</w:t>
      </w:r>
      <w:r>
        <w:rPr>
          <w:sz w:val="18"/>
          <w:szCs w:val="18"/>
        </w:rPr>
        <w:t xml:space="preserve">      </w:t>
      </w:r>
      <w:r>
        <w:rPr>
          <w:b/>
          <w:bCs/>
          <w:color w:val="20B2AA"/>
          <w:sz w:val="18"/>
          <w:szCs w:val="18"/>
          <w:rFonts w:ascii="Arial" w:eastAsia="Arial" w:hAnsi="Arial" w:cs="Arial"/>
        </w:rPr>
        <w:t xml:space="preserve">6.7× win for BPR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0.0067</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MF-Explicit</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895"/>
              <w:gridCol w:w="5105"/>
            </w:tblGrid>
            <w:tr>
              <w:trPr>
                <w:trHeight w:val="320" w:hRule="exact"/>
              </w:trPr>
              <w:tc>
                <w:tcPr>
                  <w:tcW w:type="dxa" w:w="895"/>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105"/>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0.0010</w:t>
            </w:r>
          </w:p>
        </w:tc>
      </w:tr>
    </w:tbl>
    <w:p>
      <w:pPr>
        <w:spacing w:after="320" w:before="240"/>
      </w:pPr>
      <w:r>
        <w:rPr>
          <w:b/>
          <w:bCs/>
          <w:color w:val="2E5AAC"/>
          <w:spacing w:val="40"/>
          <w:sz w:val="16"/>
          <w:szCs w:val="16"/>
          <w:rFonts w:ascii="Arial" w:eastAsia="Arial" w:hAnsi="Arial" w:cs="Arial"/>
        </w:rPr>
        <w:t xml:space="preserve">FIGURE L1</w:t>
      </w:r>
      <w:r>
        <w:t xml:space="preserve">   </w:t>
      </w:r>
      <w:r>
        <w:rPr>
          <w:i/>
          <w:iCs/>
          <w:color w:val="52606D"/>
          <w:sz w:val="18"/>
          <w:szCs w:val="18"/>
          <w:rFonts w:ascii="Arial" w:eastAsia="Arial" w:hAnsi="Arial" w:cs="Arial"/>
        </w:rPr>
        <w:t xml:space="preserve">MF-BPR vs MF-Explicit on both metrics — ranking loss dominates.</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BPR wins 5.2× on Recall@10. The ranking loss directly optimizes the quantity that evaluation metrics measure, while RMSE optimizes prediction accuracy on ratings that may not correlate with top-K relevance.</w:t>
      </w:r>
    </w:p>
    <w:p>
      <w:r>
        <w:br w:type="page"/>
      </w:r>
    </w:p>
    <w:p>
      <w:pPr>
        <w:pStyle w:val="Heading1"/>
        <w:spacing w:after="120" w:before="0"/>
      </w:pPr>
      <w:r>
        <w:rPr>
          <w:b/>
          <w:bCs/>
          <w:color w:val="2E5AAC"/>
          <w:sz w:val="32"/>
          <w:szCs w:val="32"/>
          <w:rFonts w:ascii="Arial" w:eastAsia="Arial" w:hAnsi="Arial" w:cs="Arial"/>
        </w:rPr>
        <w:t xml:space="preserve">Lesson 1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1 asks whether we should train on explicit 1–5 ratings or treat ratings implicitly as positive signals.</w:t>
      </w:r>
    </w:p>
    <w:p>
      <w:pPr>
        <w:spacing w:after="120" w:line="320"/>
      </w:pPr>
      <w:r>
        <w:rPr>
          <w:color w:val="1F2933"/>
          <w:rFonts w:ascii="Arial" w:eastAsia="Arial" w:hAnsi="Arial" w:cs="Arial"/>
        </w:rPr>
        <w:t xml:space="preserve">We compare MF trained with explicit MSE regression (MF-Explicit) against the same model trained with Bayesian Personalized Ranking on implicit feedback (MF-BPR). </w:t>
      </w:r>
      <w:r>
        <w:rPr>
          <w:b/>
          <w:bCs/>
          <w:color w:val="1F2933"/>
          <w:rFonts w:ascii="Arial" w:eastAsia="Arial" w:hAnsi="Arial" w:cs="Arial"/>
        </w:rPr>
        <w:t xml:space="preserve">On the same cohort, MF-BPR reaches Recall@10 = 0.0130 while MF-Explicit collapses to 0.0025 — a 5.2× gap.</w:t>
      </w:r>
    </w:p>
    <w:p>
      <w:pPr>
        <w:spacing w:after="320" w:line="320"/>
      </w:pPr>
      <w:r>
        <w:rPr>
          <w:color w:val="1F2933"/>
          <w:rFonts w:ascii="Arial" w:eastAsia="Arial" w:hAnsi="Arial" w:cs="Arial"/>
        </w:rPr>
        <w:t xml:space="preserve">The takeaway for the rest of the report: ranking losses are the right regime for recommendation, and every subsequent model is trained implicitly.</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BPR crushes MF-Explicit</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Recall@10 </w:t>
            </w:r>
            <w:r>
              <w:rPr>
                <w:b/>
                <w:bCs/>
                <w:color w:val="20B2AA"/>
                <w:sz w:val="20"/>
                <w:szCs w:val="20"/>
                <w:rFonts w:ascii="Arial" w:eastAsia="Arial" w:hAnsi="Arial" w:cs="Arial"/>
              </w:rPr>
              <w:t xml:space="preserve">0.0130</w:t>
            </w:r>
            <w:r>
              <w:rPr>
                <w:color w:val="1F2933"/>
                <w:sz w:val="20"/>
                <w:szCs w:val="20"/>
                <w:rFonts w:ascii="Arial" w:eastAsia="Arial" w:hAnsi="Arial" w:cs="Arial"/>
              </w:rPr>
              <w:t xml:space="preserve"> vs </w:t>
            </w:r>
            <w:r>
              <w:rPr>
                <w:color w:val="52606D"/>
                <w:sz w:val="20"/>
                <w:szCs w:val="20"/>
                <w:rFonts w:ascii="Arial" w:eastAsia="Arial" w:hAnsi="Arial" w:cs="Arial"/>
              </w:rPr>
              <w:t xml:space="preserve">0.0025</w:t>
            </w:r>
            <w:r>
              <w:rPr>
                <w:color w:val="1F2933"/>
                <w:sz w:val="20"/>
                <w:szCs w:val="20"/>
                <w:rFonts w:ascii="Arial" w:eastAsia="Arial" w:hAnsi="Arial" w:cs="Arial"/>
              </w:rPr>
              <w:t xml:space="preserve"> — </w:t>
            </w:r>
            <w:r>
              <w:rPr>
                <w:b/>
                <w:bCs/>
                <w:color w:val="20B2AA"/>
                <w:sz w:val="20"/>
                <w:szCs w:val="20"/>
                <w:rFonts w:ascii="Arial" w:eastAsia="Arial" w:hAnsi="Arial" w:cs="Arial"/>
              </w:rPr>
              <w:t xml:space="preserve">5.2× win</w:t>
            </w:r>
            <w:r>
              <w:rPr>
                <w:color w:val="1F2933"/>
                <w:sz w:val="20"/>
                <w:szCs w:val="20"/>
                <w:rFonts w:ascii="Arial" w:eastAsia="Arial" w:hAnsi="Arial" w:cs="Arial"/>
              </w:rPr>
              <w:t xml:space="preserve">; NDCG </w:t>
            </w:r>
            <w:r>
              <w:rPr>
                <w:b/>
                <w:bCs/>
                <w:color w:val="20B2AA"/>
                <w:sz w:val="20"/>
                <w:szCs w:val="20"/>
                <w:rFonts w:ascii="Arial" w:eastAsia="Arial" w:hAnsi="Arial" w:cs="Arial"/>
              </w:rPr>
              <w:t xml:space="preserve">6.7×</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Ranking loss fits implicit data</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All positives collapse to rating ≥ 4; SVD loses variance</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Low ceiling without CDR</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Best single-domain is only 1.3% Recall@10</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2 </w:t>
      </w:r>
      <w:r>
        <w:rPr>
          <w:color w:val="1F2933"/>
          <w:sz w:val="22"/>
          <w:szCs w:val="22"/>
          <w:rFonts w:ascii="Arial" w:eastAsia="Arial" w:hAnsi="Arial" w:cs="Arial"/>
        </w:rPr>
        <w:t xml:space="preserve">expands the portfolio from two MF models to six (adding LightGCN, NCF, CMF, EMCDR, PTUPCDR) and runs them on the same naturally-sparse mixed population — asking whether CDR models can beat single-domain when only 5% of users overlap.</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5.2  </w:t>
      </w:r>
      <w:r>
        <w:rPr>
          <w:b/>
          <w:bCs/>
          <w:color w:val="1F2933"/>
          <w:sz w:val="32"/>
          <w:szCs w:val="32"/>
          <w:rFonts w:ascii="Arial" w:eastAsia="Arial" w:hAnsi="Arial" w:cs="Arial"/>
        </w:rPr>
        <w:t xml:space="preserve">Lesson 2: Low Overlap Kills CDR</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Cross-domain recommenders promise to transfer knowledge from a dense source domain (movies) to a sparse target domain (games).</w:t>
      </w:r>
    </w:p>
    <w:p>
      <w:pPr>
        <w:spacing w:after="280" w:line="320"/>
      </w:pPr>
      <w:r>
        <w:rPr>
          <w:color w:val="1F2933"/>
          <w:rFonts w:ascii="Arial" w:eastAsia="Arial" w:hAnsi="Arial" w:cs="Arial"/>
        </w:rPr>
        <w:t xml:space="preserve">But that promise rests on having enough bridge users. This lesson tests CDR at a realistic ~5% overlap — the ratio you actually observe on untouched Amazon Reviews data.</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Can collaborative CDR models (CMF, EMCDR, PTUPCDR) beat a single-domain graph recommender (LightGCN) when only 5.2% of users appear in both domains?</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We expand the portfolio from two MF models to six — </w:t>
      </w:r>
      <w:r>
        <w:rPr>
          <w:b/>
          <w:bCs/>
          <w:color w:val="1F2933"/>
          <w:rFonts w:ascii="Arial" w:eastAsia="Arial" w:hAnsi="Arial" w:cs="Arial"/>
        </w:rPr>
        <w:t xml:space="preserve">three single-domain models (MF-BPR, NCF, LightGCN) against three CDR models (CMF, EMCDR, PTUPCDR)</w:t>
      </w:r>
      <w:r>
        <w:rPr>
          <w:color w:val="1F2933"/>
          <w:rFonts w:ascii="Arial" w:eastAsia="Arial" w:hAnsi="Arial" w:cs="Arial"/>
        </w:rPr>
        <w:t xml:space="preserve"> — all trained on the same mixed 1M-user cohort where only 5.2% of users appear in both domains.</w:t>
      </w:r>
    </w:p>
    <w:p>
      <w:pPr>
        <w:pStyle w:val="ListParagraph"/>
        <w:numPr>
          <w:ilvl w:val="0"/>
          <w:numId w:val="2"/>
        </w:numPr>
        <w:spacing w:after="80" w:line="300"/>
      </w:pPr>
      <w:r>
        <w:rPr>
          <w:b/>
          <w:bCs/>
          <w:color w:val="1F2933"/>
          <w:rFonts w:ascii="Arial" w:eastAsia="Arial" w:hAnsi="Arial" w:cs="Arial"/>
        </w:rPr>
        <w:t xml:space="preserve">Single-domain</w:t>
      </w:r>
      <w:r>
        <w:rPr>
          <w:color w:val="52606D"/>
          <w:rFonts w:ascii="Arial" w:eastAsia="Arial" w:hAnsi="Arial" w:cs="Arial"/>
        </w:rPr>
        <w:t xml:space="preserve">  —  MF-BPR (pairwise MF), NCF (NeuMF), LightGCN (graph)</w:t>
      </w:r>
    </w:p>
    <w:p>
      <w:pPr>
        <w:pStyle w:val="ListParagraph"/>
        <w:numPr>
          <w:ilvl w:val="0"/>
          <w:numId w:val="2"/>
        </w:numPr>
        <w:spacing w:after="80" w:line="300"/>
      </w:pPr>
      <w:r>
        <w:rPr>
          <w:b/>
          <w:bCs/>
          <w:color w:val="1F2933"/>
          <w:rFonts w:ascii="Arial" w:eastAsia="Arial" w:hAnsi="Arial" w:cs="Arial"/>
        </w:rPr>
        <w:t xml:space="preserve">CDR</w:t>
      </w:r>
      <w:r>
        <w:rPr>
          <w:color w:val="52606D"/>
          <w:rFonts w:ascii="Arial" w:eastAsia="Arial" w:hAnsi="Arial" w:cs="Arial"/>
        </w:rPr>
        <w:t xml:space="preserve">  —  CMF (joint MF), EMCDR (mapping), PTUPCDR (personalized mapping)</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full-rank Recall@10 (same 1M-user cohort as Lesson 1).</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155724"/>
          <w:sz w:val="16"/>
          <w:szCs w:val="16"/>
          <w:shd w:fill="D4EDDA" w:val="clear"/>
          <w:rFonts w:ascii="Arial" w:eastAsia="Arial" w:hAnsi="Arial" w:cs="Arial"/>
        </w:rPr>
        <w:t xml:space="preserve"> SAME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1,000,000  (no user k-core, random sample)</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52,281 (5.2%)  — natural ratio</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 game interactions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1.80M · 337K  (rating ≥ 4)</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 game items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45,933 · 11,706</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Item k-core</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movies ≥ 20, games ≥ 10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w:t>
      </w:r>
    </w:p>
    <w:p>
      <w:pPr>
        <w:spacing w:after="240" w:line="320"/>
      </w:pPr>
      <w:r>
        <w:rPr>
          <w:color w:val="1F2933"/>
          <w:rFonts w:ascii="Arial" w:eastAsia="Arial" w:hAnsi="Arial" w:cs="Arial"/>
        </w:rPr>
        <w:t xml:space="preserve">At 5.2% natural overlap, </w:t>
      </w:r>
      <w:r>
        <w:rPr>
          <w:b/>
          <w:bCs/>
          <w:color w:val="1F2933"/>
          <w:rFonts w:ascii="Arial" w:eastAsia="Arial" w:hAnsi="Arial" w:cs="Arial"/>
        </w:rPr>
        <w:t xml:space="preserve">LightGCN leads by 1.7× over MF-BPR and 1.8× over the best CDR model (EMCDR)</w:t>
      </w:r>
      <w:r>
        <w:rPr>
          <w:color w:val="1F2933"/>
          <w:rFonts w:ascii="Arial" w:eastAsia="Arial" w:hAnsi="Arial" w:cs="Arial"/>
        </w:rPr>
        <w:t xml:space="preserve"> — all three CDR models trail even the simplest single-domain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80"/>
        <w:gridCol w:w="168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2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1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NDCG@10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 gap</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0.0290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0.0157</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MF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0.0170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0.0093</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−41.4%</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EMCDR</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Mapping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0.0160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0.0082</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−44.8%</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NCF</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Neural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0.0120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0.0069</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−58.6%</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0.0085</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0.0054</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−70.7%</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CMF</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Joint MF (CDR)</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0.0050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0.0022</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−82.8%</w:t>
            </w:r>
          </w:p>
        </w:tc>
      </w:tr>
    </w:tbl>
    <w:p>
      <w:pPr>
        <w:spacing w:after="400" w:before="120"/>
      </w:pPr>
      <w:r>
        <w:rPr>
          <w:b/>
          <w:bCs/>
          <w:color w:val="2E5AAC"/>
          <w:spacing w:val="40"/>
          <w:sz w:val="16"/>
          <w:szCs w:val="16"/>
          <w:rFonts w:ascii="Arial" w:eastAsia="Arial" w:hAnsi="Arial" w:cs="Arial"/>
        </w:rPr>
        <w:t xml:space="preserve">TABLE L2</w:t>
      </w:r>
      <w:r>
        <w:t xml:space="preserve">   </w:t>
      </w:r>
      <w:r>
        <w:rPr>
          <w:i/>
          <w:iCs/>
          <w:color w:val="52606D"/>
          <w:sz w:val="18"/>
          <w:szCs w:val="18"/>
          <w:rFonts w:ascii="Arial" w:eastAsia="Arial" w:hAnsi="Arial" w:cs="Arial"/>
        </w:rPr>
        <w:t xml:space="preserve">Six-model bake-off on the 1M-user mixed cohort — LightGCN tops the full-rank leaderboard; CDR models trail.</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LightGCN leads · CDR trails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0.0290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517"/>
              <w:gridCol w:w="2483"/>
            </w:tblGrid>
            <w:tr>
              <w:trPr>
                <w:trHeight w:val="320" w:hRule="exact"/>
              </w:trPr>
              <w:tc>
                <w:tcPr>
                  <w:tcW w:type="dxa" w:w="3517"/>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2483"/>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0.0170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EMCDR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310"/>
              <w:gridCol w:w="2690"/>
            </w:tblGrid>
            <w:tr>
              <w:trPr>
                <w:trHeight w:val="320" w:hRule="exact"/>
              </w:trPr>
              <w:tc>
                <w:tcPr>
                  <w:tcW w:type="dxa" w:w="331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269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0.0160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NCF</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482"/>
              <w:gridCol w:w="3518"/>
            </w:tblGrid>
            <w:tr>
              <w:trPr>
                <w:trHeight w:val="320" w:hRule="exact"/>
              </w:trPr>
              <w:tc>
                <w:tcPr>
                  <w:tcW w:type="dxa" w:w="2482"/>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51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0.0120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758"/>
              <w:gridCol w:w="4242"/>
            </w:tblGrid>
            <w:tr>
              <w:trPr>
                <w:trHeight w:val="320" w:hRule="exact"/>
              </w:trPr>
              <w:tc>
                <w:tcPr>
                  <w:tcW w:type="dxa" w:w="1758"/>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242"/>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0.0085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CMF</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034"/>
              <w:gridCol w:w="4966"/>
            </w:tblGrid>
            <w:tr>
              <w:trPr>
                <w:trHeight w:val="320" w:hRule="exact"/>
              </w:trPr>
              <w:tc>
                <w:tcPr>
                  <w:tcW w:type="dxa" w:w="1034"/>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96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0.0050</w:t>
            </w:r>
          </w:p>
        </w:tc>
      </w:tr>
    </w:tbl>
    <w:p>
      <w:pPr>
        <w:spacing w:after="320" w:before="240"/>
      </w:pPr>
      <w:r>
        <w:rPr>
          <w:b/>
          <w:bCs/>
          <w:color w:val="2E5AAC"/>
          <w:spacing w:val="40"/>
          <w:sz w:val="16"/>
          <w:szCs w:val="16"/>
          <w:rFonts w:ascii="Arial" w:eastAsia="Arial" w:hAnsi="Arial" w:cs="Arial"/>
        </w:rPr>
        <w:t xml:space="preserve">FIGURE L2</w:t>
      </w:r>
      <w:r>
        <w:t xml:space="preserve">   </w:t>
      </w:r>
      <w:r>
        <w:rPr>
          <w:i/>
          <w:iCs/>
          <w:color w:val="52606D"/>
          <w:sz w:val="18"/>
          <w:szCs w:val="18"/>
          <w:rFonts w:ascii="Arial" w:eastAsia="Arial" w:hAnsi="Arial" w:cs="Arial"/>
        </w:rPr>
        <w:t xml:space="preserve">LightGCN wins by 1.7–5.8× across all five competitors; the three CDR models (EMCDR, PTUPCDR, CMF) cannot beat the simplest MF baseline.</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LightGCN wins 1.7× over MF-BPR and 1.8× over EMCDR (best CDR). At 5.2% overlap, cross-domain mappings have too few shared users to learn meaningful transfer — and get beaten even by pairwise MF.</w:t>
      </w:r>
    </w:p>
    <w:p>
      <w:r>
        <w:br w:type="page"/>
      </w:r>
    </w:p>
    <w:p>
      <w:pPr>
        <w:pStyle w:val="Heading1"/>
        <w:spacing w:after="120" w:before="0"/>
      </w:pPr>
      <w:r>
        <w:rPr>
          <w:b/>
          <w:bCs/>
          <w:color w:val="2E5AAC"/>
          <w:sz w:val="32"/>
          <w:szCs w:val="32"/>
          <w:rFonts w:ascii="Arial" w:eastAsia="Arial" w:hAnsi="Arial" w:cs="Arial"/>
        </w:rPr>
        <w:t xml:space="preserve">Lesson 2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2 asks whether, at a realistic low-overlap ratio, any CDR model can beat the best single-domain approach.</w:t>
      </w:r>
    </w:p>
    <w:p>
      <w:pPr>
        <w:spacing w:after="120" w:line="320"/>
      </w:pPr>
      <w:r>
        <w:rPr>
          <w:color w:val="1F2933"/>
          <w:rFonts w:ascii="Arial" w:eastAsia="Arial" w:hAnsi="Arial" w:cs="Arial"/>
        </w:rPr>
        <w:t xml:space="preserve">We benchmark six models (MF-BPR, NCF, LightGCN, CMF, EMCDR, PTUPCDR) on the same 1M-user mixed cohort with 5.2% overlap. </w:t>
      </w:r>
      <w:r>
        <w:rPr>
          <w:b/>
          <w:bCs/>
          <w:color w:val="1F2933"/>
          <w:rFonts w:ascii="Arial" w:eastAsia="Arial" w:hAnsi="Arial" w:cs="Arial"/>
        </w:rPr>
        <w:t xml:space="preserve">LightGCN reaches Recall@10 = 0.0290 — 1.7× higher than the best single-domain MF (MF-BPR) and 1.8× higher than the best CDR model (EMCDR). All three CDR models underperform the simplest single-domain baseline.</w:t>
      </w:r>
    </w:p>
    <w:p>
      <w:pPr>
        <w:spacing w:after="320" w:line="320"/>
      </w:pPr>
      <w:r>
        <w:rPr>
          <w:color w:val="1F2933"/>
          <w:rFonts w:ascii="Arial" w:eastAsia="Arial" w:hAnsi="Arial" w:cs="Arial"/>
        </w:rPr>
        <w:t xml:space="preserve">The takeaway: cross-domain transfer does not help when bridge users are scarce. Lesson 3 controls for overlap by filtering to 100% bridge users.</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 wins full-rank</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color w:val="1F2933"/>
                <w:sz w:val="20"/>
                <w:szCs w:val="20"/>
                <w:rFonts w:ascii="Arial" w:eastAsia="Arial" w:hAnsi="Arial" w:cs="Arial"/>
              </w:rPr>
              <w:t xml:space="preserve">Recall@10 </w:t>
            </w:r>
            <w:r>
              <w:rPr>
                <w:b/>
                <w:bCs/>
                <w:color w:val="20B2AA"/>
                <w:sz w:val="20"/>
                <w:szCs w:val="20"/>
                <w:rFonts w:ascii="Arial" w:eastAsia="Arial" w:hAnsi="Arial" w:cs="Arial"/>
              </w:rPr>
              <w:t xml:space="preserve">0.0290</w:t>
            </w:r>
            <w:r>
              <w:rPr>
                <w:color w:val="1F2933"/>
                <w:sz w:val="20"/>
                <w:szCs w:val="20"/>
                <w:rFonts w:ascii="Arial" w:eastAsia="Arial" w:hAnsi="Arial" w:cs="Arial"/>
              </w:rPr>
              <w:t xml:space="preserve"> — </w:t>
            </w:r>
            <w:r>
              <w:rPr>
                <w:b/>
                <w:bCs/>
                <w:color w:val="20B2AA"/>
                <w:sz w:val="20"/>
                <w:szCs w:val="20"/>
                <w:rFonts w:ascii="Arial" w:eastAsia="Arial" w:hAnsi="Arial" w:cs="Arial"/>
              </w:rPr>
              <w:t xml:space="preserve">1.7× over MF-BPR, 1.8× over EMCDR</w:t>
            </w:r>
            <w:r>
              <w:rPr>
                <w:color w:val="1F2933"/>
                <w:sz w:val="20"/>
                <w:szCs w:val="20"/>
                <w:rFonts w:ascii="Arial" w:eastAsia="Arial" w:hAnsi="Arial" w:cs="Arial"/>
              </w:rPr>
              <w:t xml:space="preserve"> (best CDR)</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CDR underperforms single-domain</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All three CDR models lose to MF-BPR; 5.2% overlap starves the mapping function</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Sampled evaluation is misleading</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CDR HR@10 up to 0.89 on 1-vs-99 sampled protocol — collapses to 0.005–0.016 on full-rank</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 holds up</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Simplest model beats all CDR on full-rank — pairwise ranking signal is strong even on sparse data</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3 </w:t>
      </w:r>
      <w:r>
        <w:rPr>
          <w:color w:val="1F2933"/>
          <w:sz w:val="22"/>
          <w:szCs w:val="22"/>
          <w:rFonts w:ascii="Arial" w:eastAsia="Arial" w:hAnsi="Arial" w:cs="Arial"/>
        </w:rPr>
        <w:t xml:space="preserve">isolates user overlap as the variable — we restrict training and evaluation to the 19,880 users active in both domains, pushing overlap from 5.2% to 100%, and ask whether CDR finally recovers once every user is a bridge.</w:t>
      </w:r>
    </w:p>
    <w:p>
      <w:pPr>
        <w:spacing w:after="320" w:before="0"/>
      </w:pPr>
      <w:r>
        <w:t xml:space="preserve"/>
      </w:r>
    </w:p>
    <w:p>
      <w:pPr>
        <w:pStyle w:val="Heading1"/>
        <w:spacing w:after="120" w:before="0"/>
      </w:pPr>
      <w:r>
        <w:rPr>
          <w:b/>
          <w:bCs/>
          <w:color w:val="2E5AAC"/>
          <w:sz w:val="32"/>
          <w:szCs w:val="32"/>
          <w:rFonts w:ascii="Arial" w:eastAsia="Arial" w:hAnsi="Arial" w:cs="Arial"/>
        </w:rPr>
        <w:t xml:space="preserve">5.3  </w:t>
      </w:r>
      <w:r>
        <w:rPr>
          <w:b/>
          <w:bCs/>
          <w:color w:val="1F2933"/>
          <w:sz w:val="32"/>
          <w:szCs w:val="32"/>
          <w:rFonts w:ascii="Arial" w:eastAsia="Arial" w:hAnsi="Arial" w:cs="Arial"/>
        </w:rPr>
        <w:t xml:space="preserve">Lesson 3: Overlap Filtering Rescues CDR</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2 showed CDR losing badly at 5.2% overlap. But is the problem really low overlap — or is cross-domain transfer fundamentally weak?</w:t>
      </w:r>
    </w:p>
    <w:p>
      <w:pPr>
        <w:spacing w:after="280" w:line="320"/>
      </w:pPr>
      <w:r>
        <w:rPr>
          <w:color w:val="1F2933"/>
          <w:rFonts w:ascii="Arial" w:eastAsia="Arial" w:hAnsi="Arial" w:cs="Arial"/>
        </w:rPr>
        <w:t xml:space="preserve">This lesson isolates overlap as the variable by restricting training and evaluation to the 19,880 users who are active in both domains — forcing every user to be a bridge.</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When every user has history in both domains (100% overlap), do CDR models finally become competitive with LightGCN?</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Same six models as Lesson 2. What changes is the cohort: we filter the full Amazon 2023 data down to users who have </w:t>
      </w:r>
      <w:r>
        <w:rPr>
          <w:b/>
          <w:bCs/>
          <w:color w:val="1F2933"/>
          <w:rFonts w:ascii="Arial" w:eastAsia="Arial" w:hAnsi="Arial" w:cs="Arial"/>
        </w:rPr>
        <w:t xml:space="preserve">at least 10 total interactions AND at least 5 movies and 1 game</w:t>
      </w:r>
      <w:r>
        <w:rPr>
          <w:color w:val="1F2933"/>
          <w:rFonts w:ascii="Arial" w:eastAsia="Arial" w:hAnsi="Arial" w:cs="Arial"/>
        </w:rPr>
        <w:t xml:space="preserve"> — giving 19,880 bridge users with 100% overlap by construction.</w:t>
      </w:r>
    </w:p>
    <w:p>
      <w:pPr>
        <w:pStyle w:val="ListParagraph"/>
        <w:numPr>
          <w:ilvl w:val="0"/>
          <w:numId w:val="2"/>
        </w:numPr>
        <w:spacing w:after="80" w:line="300"/>
      </w:pPr>
      <w:r>
        <w:rPr>
          <w:b/>
          <w:bCs/>
          <w:color w:val="1F2933"/>
          <w:rFonts w:ascii="Arial" w:eastAsia="Arial" w:hAnsi="Arial" w:cs="Arial"/>
        </w:rPr>
        <w:t xml:space="preserve">Single-domain</w:t>
      </w:r>
      <w:r>
        <w:rPr>
          <w:color w:val="52606D"/>
          <w:rFonts w:ascii="Arial" w:eastAsia="Arial" w:hAnsi="Arial" w:cs="Arial"/>
        </w:rPr>
        <w:t xml:space="preserve">  —  MF-BPR, NCF, LightGCN</w:t>
      </w:r>
    </w:p>
    <w:p>
      <w:pPr>
        <w:pStyle w:val="ListParagraph"/>
        <w:numPr>
          <w:ilvl w:val="0"/>
          <w:numId w:val="2"/>
        </w:numPr>
        <w:spacing w:after="80" w:line="300"/>
      </w:pPr>
      <w:r>
        <w:rPr>
          <w:b/>
          <w:bCs/>
          <w:color w:val="1F2933"/>
          <w:rFonts w:ascii="Arial" w:eastAsia="Arial" w:hAnsi="Arial" w:cs="Arial"/>
        </w:rPr>
        <w:t xml:space="preserve">CDR</w:t>
      </w:r>
      <w:r>
        <w:rPr>
          <w:color w:val="52606D"/>
          <w:rFonts w:ascii="Arial" w:eastAsia="Arial" w:hAnsi="Arial" w:cs="Arial"/>
        </w:rPr>
        <w:t xml:space="preserve">  —  CMF, EMCDR, PTUPCDR</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full-rank Recall@10 (same protocol as L1–L2).</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7A5400"/>
          <w:sz w:val="16"/>
          <w:szCs w:val="16"/>
          <w:shd w:fill="FFF2CC" w:val="clear"/>
          <w:rFonts w:ascii="Arial" w:eastAsia="Arial" w:hAnsi="Arial" w:cs="Arial"/>
        </w:rPr>
        <w:t xml:space="preserve"> CHANGED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  (Δ from Lesson 2)</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19,880  (was 1,000,000 sampled)</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19,880 (100%)  — was 5.2%</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 game interactions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430,736 · 87,613  (denser per-user)</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 game items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40,288 · 10,034</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 k-core</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 10 total interactions  (new)</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w:t>
      </w:r>
    </w:p>
    <w:p>
      <w:pPr>
        <w:spacing w:after="240" w:line="320"/>
      </w:pPr>
      <w:r>
        <w:rPr>
          <w:color w:val="1F2933"/>
          <w:rFonts w:ascii="Arial" w:eastAsia="Arial" w:hAnsi="Arial" w:cs="Arial"/>
        </w:rPr>
        <w:t xml:space="preserve">Every CDR model jumps dramatically. </w:t>
      </w:r>
      <w:r>
        <w:rPr>
          <w:b/>
          <w:bCs/>
          <w:color w:val="1F2933"/>
          <w:rFonts w:ascii="Arial" w:eastAsia="Arial" w:hAnsi="Arial" w:cs="Arial"/>
        </w:rPr>
        <w:t xml:space="preserve">PTUPCDR surges +276% (0.0085 → 0.0320), CMF +180%, EMCDR +53%</w:t>
      </w:r>
      <w:r>
        <w:rPr>
          <w:color w:val="1F2933"/>
          <w:rFonts w:ascii="Arial" w:eastAsia="Arial" w:hAnsi="Arial" w:cs="Arial"/>
        </w:rPr>
        <w:t xml:space="preserve"> — closing the gap to LightGCN from −71% to −42%. LightGCN still leads (Recall@10 = 0.0555) but CDR is now a serious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80"/>
        <w:gridCol w:w="168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2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1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NDCG@10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 gap</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0.0555</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0.0311</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0.0320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0.0179</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−42.3%</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EMCDR</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Mapping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0.0245</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0.0115</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−55.9%</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NCF</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Neural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0.0230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0.0130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−58.6%</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CMF</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Joint MF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0.0140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0.0073</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−74.8%</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MF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0.0050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0.0030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−91.0%</w:t>
            </w:r>
          </w:p>
        </w:tc>
      </w:tr>
    </w:tbl>
    <w:p>
      <w:pPr>
        <w:spacing w:after="400" w:before="120"/>
      </w:pPr>
      <w:r>
        <w:rPr>
          <w:b/>
          <w:bCs/>
          <w:color w:val="2E5AAC"/>
          <w:spacing w:val="40"/>
          <w:sz w:val="16"/>
          <w:szCs w:val="16"/>
          <w:rFonts w:ascii="Arial" w:eastAsia="Arial" w:hAnsi="Arial" w:cs="Arial"/>
        </w:rPr>
        <w:t xml:space="preserve">TABLE L3</w:t>
      </w:r>
      <w:r>
        <w:t xml:space="preserve">   </w:t>
      </w:r>
      <w:r>
        <w:rPr>
          <w:i/>
          <w:iCs/>
          <w:color w:val="52606D"/>
          <w:sz w:val="18"/>
          <w:szCs w:val="18"/>
          <w:rFonts w:ascii="Arial" w:eastAsia="Arial" w:hAnsi="Arial" w:cs="Arial"/>
        </w:rPr>
        <w:t xml:space="preserve">Full-rank Recall@10 / NDCG@10 on the 19,880-user 100%-overlap cohort.</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LightGCN leads · CDR closes in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0.0555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459"/>
              <w:gridCol w:w="2541"/>
            </w:tblGrid>
            <w:tr>
              <w:trPr>
                <w:trHeight w:val="320" w:hRule="exact"/>
              </w:trPr>
              <w:tc>
                <w:tcPr>
                  <w:tcW w:type="dxa" w:w="3459"/>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2541"/>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0.0320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EMCDR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648"/>
              <w:gridCol w:w="3352"/>
            </w:tblGrid>
            <w:tr>
              <w:trPr>
                <w:trHeight w:val="320" w:hRule="exact"/>
              </w:trPr>
              <w:tc>
                <w:tcPr>
                  <w:tcW w:type="dxa" w:w="2648"/>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352"/>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0.0245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NCF</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486"/>
              <w:gridCol w:w="3514"/>
            </w:tblGrid>
            <w:tr>
              <w:trPr>
                <w:trHeight w:val="320" w:hRule="exact"/>
              </w:trPr>
              <w:tc>
                <w:tcPr>
                  <w:tcW w:type="dxa" w:w="2486"/>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51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0.0230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CMF</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513"/>
              <w:gridCol w:w="4487"/>
            </w:tblGrid>
            <w:tr>
              <w:trPr>
                <w:trHeight w:val="320" w:hRule="exact"/>
              </w:trPr>
              <w:tc>
                <w:tcPr>
                  <w:tcW w:type="dxa" w:w="1513"/>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487"/>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0.0140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540"/>
              <w:gridCol w:w="5460"/>
            </w:tblGrid>
            <w:tr>
              <w:trPr>
                <w:trHeight w:val="320" w:hRule="exact"/>
              </w:trPr>
              <w:tc>
                <w:tcPr>
                  <w:tcW w:type="dxa" w:w="54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4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0.0050</w:t>
            </w:r>
          </w:p>
        </w:tc>
      </w:tr>
    </w:tbl>
    <w:p>
      <w:pPr>
        <w:spacing w:after="320" w:before="240"/>
      </w:pPr>
      <w:r>
        <w:rPr>
          <w:b/>
          <w:bCs/>
          <w:color w:val="2E5AAC"/>
          <w:spacing w:val="40"/>
          <w:sz w:val="16"/>
          <w:szCs w:val="16"/>
          <w:rFonts w:ascii="Arial" w:eastAsia="Arial" w:hAnsi="Arial" w:cs="Arial"/>
        </w:rPr>
        <w:t xml:space="preserve">FIGURE L3</w:t>
      </w:r>
      <w:r>
        <w:t xml:space="preserve">   </w:t>
      </w:r>
      <w:r>
        <w:rPr>
          <w:i/>
          <w:iCs/>
          <w:color w:val="52606D"/>
          <w:sz w:val="18"/>
          <w:szCs w:val="18"/>
          <w:rFonts w:ascii="Arial" w:eastAsia="Arial" w:hAnsi="Arial" w:cs="Arial"/>
        </w:rPr>
        <w:t xml:space="preserve">Overlap filter jump: PTUPCDR +276%, CMF +180%. CDR is now competitive but LightGCN still holds the crown.</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100%-overlap filtering rescues CDR. PTUPCDR closes the gap from −71% (L2) to −42% (L3); every CDR model improves substantially. Overlap is the single most decisive variable for cross-domain transfer.</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Lesson 3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3 asks whether the poor L2 CDR results were caused by structural weakness or simply too few bridge users.</w:t>
      </w:r>
    </w:p>
    <w:p>
      <w:pPr>
        <w:spacing w:after="120" w:line="320"/>
      </w:pPr>
      <w:r>
        <w:rPr>
          <w:color w:val="1F2933"/>
          <w:rFonts w:ascii="Arial" w:eastAsia="Arial" w:hAnsi="Arial" w:cs="Arial"/>
        </w:rPr>
        <w:t xml:space="preserve">Restricting the cohort to 100% overlap users (19,880 users with ≥10 interactions, ≥5 movies, ≥1 game) lets every CDR model exploit cross-domain signal. </w:t>
      </w:r>
      <w:r>
        <w:rPr>
          <w:b/>
          <w:bCs/>
          <w:color w:val="1F2933"/>
          <w:rFonts w:ascii="Arial" w:eastAsia="Arial" w:hAnsi="Arial" w:cs="Arial"/>
        </w:rPr>
        <w:t xml:space="preserve">PTUPCDR climbs from 0.0085 → 0.0320 (+276%), CMF +180%, EMCDR +53%. LightGCN also improves (+91% to 0.0555) but its lead narrows sharply.</w:t>
      </w:r>
    </w:p>
    <w:p>
      <w:pPr>
        <w:spacing w:after="320" w:line="320"/>
      </w:pPr>
      <w:r>
        <w:rPr>
          <w:color w:val="1F2933"/>
          <w:rFonts w:ascii="Arial" w:eastAsia="Arial" w:hAnsi="Arial" w:cs="Arial"/>
        </w:rPr>
        <w:t xml:space="preserve">The takeaway: CDR is not fundamentally weak — it was starved of bridge users in Lesson 2. With overlap controlled, PTUPCDR now overtakes EMCDR because it has enough data to train its 8 expert mapping functions.</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 filtering rescues CDR</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PTUPCDR </w:t>
            </w:r>
            <w:r>
              <w:rPr>
                <w:b/>
                <w:bCs/>
                <w:color w:val="20B2AA"/>
                <w:sz w:val="20"/>
                <w:szCs w:val="20"/>
                <w:rFonts w:ascii="Arial" w:eastAsia="Arial" w:hAnsi="Arial" w:cs="Arial"/>
              </w:rPr>
              <w:t xml:space="preserve">0.0085 → 0.0320</w:t>
            </w:r>
            <w:r>
              <w:rPr>
                <w:color w:val="1F2933"/>
                <w:sz w:val="20"/>
                <w:szCs w:val="20"/>
                <w:rFonts w:ascii="Arial" w:eastAsia="Arial" w:hAnsi="Arial" w:cs="Arial"/>
              </w:rPr>
              <w:t xml:space="preserve"> (+276%); CMF +180%; EMCDR +53%</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 still leads</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Recall@10 = 0.0555 — up from 0.0290 in L2 (+91%). Graph structure scales with denser per-user game data.</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 overtakes EMCDR</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0.0320 vs 0.0245. With dense overlap data, the 8-expert mixture beats the single global MLP.</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MF-BPR collapses</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0.0170 (L2) → 0.0050 (L3): 19.9K users is too small for BPR's pairwise sampling to find enough discriminative pairs.</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4 </w:t>
      </w:r>
      <w:r>
        <w:rPr>
          <w:color w:val="1F2933"/>
          <w:sz w:val="22"/>
          <w:szCs w:val="22"/>
          <w:rFonts w:ascii="Arial" w:eastAsia="Arial" w:hAnsi="Arial" w:cs="Arial"/>
        </w:rPr>
        <w:t xml:space="preserve">tightens the movie filter from ≥5 to ≥10 ratings, making users source-rich / target-sparse. The CDR advantage should grow as source signal gets richer and single-domain models lose game-heavy users.</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5.4  </w:t>
      </w:r>
      <w:r>
        <w:rPr>
          <w:b/>
          <w:bCs/>
          <w:color w:val="1F2933"/>
          <w:sz w:val="32"/>
          <w:szCs w:val="32"/>
          <w:rFonts w:ascii="Arial" w:eastAsia="Arial" w:hAnsi="Arial" w:cs="Arial"/>
        </w:rPr>
        <w:t xml:space="preserve">Lesson 4: Source-Rich / Target-Sparse</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CDR is designed for users with rich source-domain history and little target-domain history — exactly where single-domain target-side models have nothing to learn from.</w:t>
      </w:r>
    </w:p>
    <w:p>
      <w:pPr>
        <w:spacing w:after="280" w:line="320"/>
      </w:pPr>
      <w:r>
        <w:rPr>
          <w:color w:val="1F2933"/>
          <w:rFonts w:ascii="Arial" w:eastAsia="Arial" w:hAnsi="Arial" w:cs="Arial"/>
        </w:rPr>
        <w:t xml:space="preserve">This lesson stresses CDR toward its designed regime by tightening the movie-history minimum from ≥5 to ≥10 ratings. Movie-poor / game-rich users are removed, leaving a more source-rich cohort.</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Does CDR close the gap to LightGCN further when users have richer movie history but proportionally less game history?</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Same six models, same 100%-overlap cohort structure as Lesson 3. Only the movie-history floor changes: </w:t>
      </w:r>
      <w:r>
        <w:rPr>
          <w:b/>
          <w:bCs/>
          <w:color w:val="1F2933"/>
          <w:rFonts w:ascii="Arial" w:eastAsia="Arial" w:hAnsi="Arial" w:cs="Arial"/>
        </w:rPr>
        <w:t xml:space="preserve">movies ≥ 10 (was ≥ 5)</w:t>
      </w:r>
      <w:r>
        <w:rPr>
          <w:color w:val="1F2933"/>
          <w:rFonts w:ascii="Arial" w:eastAsia="Arial" w:hAnsi="Arial" w:cs="Arial"/>
        </w:rPr>
        <w:t xml:space="preserve">. This removes ~5.5K movie-poor users and drops game interactions by 33% — penalizing game-signal-heavy models and rewarding models that leverage movie history.</w:t>
      </w:r>
    </w:p>
    <w:p>
      <w:pPr>
        <w:pStyle w:val="ListParagraph"/>
        <w:numPr>
          <w:ilvl w:val="0"/>
          <w:numId w:val="2"/>
        </w:numPr>
        <w:spacing w:after="80" w:line="300"/>
      </w:pPr>
      <w:r>
        <w:rPr>
          <w:b/>
          <w:bCs/>
          <w:color w:val="1F2933"/>
          <w:rFonts w:ascii="Arial" w:eastAsia="Arial" w:hAnsi="Arial" w:cs="Arial"/>
        </w:rPr>
        <w:t xml:space="preserve">Single-domain</w:t>
      </w:r>
      <w:r>
        <w:rPr>
          <w:color w:val="52606D"/>
          <w:rFonts w:ascii="Arial" w:eastAsia="Arial" w:hAnsi="Arial" w:cs="Arial"/>
        </w:rPr>
        <w:t xml:space="preserve">  —  MF-BPR, NCF, LightGCN</w:t>
      </w:r>
    </w:p>
    <w:p>
      <w:pPr>
        <w:pStyle w:val="ListParagraph"/>
        <w:numPr>
          <w:ilvl w:val="0"/>
          <w:numId w:val="2"/>
        </w:numPr>
        <w:spacing w:after="80" w:line="300"/>
      </w:pPr>
      <w:r>
        <w:rPr>
          <w:b/>
          <w:bCs/>
          <w:color w:val="1F2933"/>
          <w:rFonts w:ascii="Arial" w:eastAsia="Arial" w:hAnsi="Arial" w:cs="Arial"/>
        </w:rPr>
        <w:t xml:space="preserve">CDR</w:t>
      </w:r>
      <w:r>
        <w:rPr>
          <w:color w:val="52606D"/>
          <w:rFonts w:ascii="Arial" w:eastAsia="Arial" w:hAnsi="Arial" w:cs="Arial"/>
        </w:rPr>
        <w:t xml:space="preserve">  —  CMF, EMCDR, PTUPCDR</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full-rank Recall@10.</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7A5400"/>
          <w:sz w:val="16"/>
          <w:szCs w:val="16"/>
          <w:shd w:fill="FFF2CC" w:val="clear"/>
          <w:rFonts w:ascii="Arial" w:eastAsia="Arial" w:hAnsi="Arial" w:cs="Arial"/>
        </w:rPr>
        <w:t xml:space="preserve"> CHANGED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  (Δ from Lesson 3)</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14,328  (−28% from L3: 19,880)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14,328 (100%)</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minimum</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 10 ratings  (was ≥ 5)</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 game interactions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388,919 · 58,782  (games −33%)</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 game items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39,534 · 9,147</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w:t>
      </w:r>
    </w:p>
    <w:p>
      <w:pPr>
        <w:spacing w:after="240" w:line="320"/>
      </w:pPr>
      <w:r>
        <w:rPr>
          <w:color w:val="1F2933"/>
          <w:rFonts w:ascii="Arial" w:eastAsia="Arial" w:hAnsi="Arial" w:cs="Arial"/>
        </w:rPr>
        <w:t xml:space="preserve">The trend is clear: </w:t>
      </w:r>
      <w:r>
        <w:rPr>
          <w:b/>
          <w:bCs/>
          <w:color w:val="1F2933"/>
          <w:rFonts w:ascii="Arial" w:eastAsia="Arial" w:hAnsi="Arial" w:cs="Arial"/>
        </w:rPr>
        <w:t xml:space="preserve">PTUPCDR closes to within 17% of LightGCN (was 42% in L3); EMCDR narrows to −34%; CMF −54%</w:t>
      </w:r>
      <w:r>
        <w:rPr>
          <w:color w:val="1F2933"/>
          <w:rFonts w:ascii="Arial" w:eastAsia="Arial" w:hAnsi="Arial" w:cs="Arial"/>
        </w:rPr>
        <w:t xml:space="preserve">. LightGCN drops −37% because its game-heavy users were removed. CDR models are more robust to the filter change — richer movie history compensates for the smaller game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80"/>
        <w:gridCol w:w="168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2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1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NDCG@10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 gap</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0.0350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0.0180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0.0290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0.0154</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−17.1%</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EMCDR</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Mapping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0.0230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0.0116</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−34.3%</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CMF</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Joint MF (CDR)</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0.0160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0.0078</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−54.3%</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NCF</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Neural (single-domain)</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0.0140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0.0073</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−60.0%</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MF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0.0070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0.0029</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−80.0%</w:t>
            </w:r>
          </w:p>
        </w:tc>
      </w:tr>
    </w:tbl>
    <w:p>
      <w:pPr>
        <w:spacing w:after="400" w:before="120"/>
      </w:pPr>
      <w:r>
        <w:rPr>
          <w:b/>
          <w:bCs/>
          <w:color w:val="2E5AAC"/>
          <w:spacing w:val="40"/>
          <w:sz w:val="16"/>
          <w:szCs w:val="16"/>
          <w:rFonts w:ascii="Arial" w:eastAsia="Arial" w:hAnsi="Arial" w:cs="Arial"/>
        </w:rPr>
        <w:t xml:space="preserve">TABLE L4</w:t>
      </w:r>
      <w:r>
        <w:t xml:space="preserve">   </w:t>
      </w:r>
      <w:r>
        <w:rPr>
          <w:i/>
          <w:iCs/>
          <w:color w:val="52606D"/>
          <w:sz w:val="18"/>
          <w:szCs w:val="18"/>
          <w:rFonts w:ascii="Arial" w:eastAsia="Arial" w:hAnsi="Arial" w:cs="Arial"/>
        </w:rPr>
        <w:t xml:space="preserve">Source-rich cohort (movies ≥ 10): CDR narrows the gap to LightGCN.</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CDR narrows the gap to LightGCN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0.0350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971"/>
              <w:gridCol w:w="1029"/>
            </w:tblGrid>
            <w:tr>
              <w:trPr>
                <w:trHeight w:val="320" w:hRule="exact"/>
              </w:trPr>
              <w:tc>
                <w:tcPr>
                  <w:tcW w:type="dxa" w:w="4971"/>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1029"/>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0.0290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EMCDR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942"/>
              <w:gridCol w:w="2058"/>
            </w:tblGrid>
            <w:tr>
              <w:trPr>
                <w:trHeight w:val="320" w:hRule="exact"/>
              </w:trPr>
              <w:tc>
                <w:tcPr>
                  <w:tcW w:type="dxa" w:w="3942"/>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205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0.0230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CMF</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742"/>
              <w:gridCol w:w="3258"/>
            </w:tblGrid>
            <w:tr>
              <w:trPr>
                <w:trHeight w:val="320" w:hRule="exact"/>
              </w:trPr>
              <w:tc>
                <w:tcPr>
                  <w:tcW w:type="dxa" w:w="2742"/>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25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0.0160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NCF</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400"/>
              <w:gridCol w:w="3600"/>
            </w:tblGrid>
            <w:tr>
              <w:trPr>
                <w:trHeight w:val="320" w:hRule="exact"/>
              </w:trPr>
              <w:tc>
                <w:tcPr>
                  <w:tcW w:type="dxa" w:w="240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0.0140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200"/>
              <w:gridCol w:w="4800"/>
            </w:tblGrid>
            <w:tr>
              <w:trPr>
                <w:trHeight w:val="320" w:hRule="exact"/>
              </w:trPr>
              <w:tc>
                <w:tcPr>
                  <w:tcW w:type="dxa" w:w="120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0.0070</w:t>
            </w:r>
          </w:p>
        </w:tc>
      </w:tr>
    </w:tbl>
    <w:p>
      <w:pPr>
        <w:spacing w:after="320" w:before="240"/>
      </w:pPr>
      <w:r>
        <w:rPr>
          <w:b/>
          <w:bCs/>
          <w:color w:val="2E5AAC"/>
          <w:spacing w:val="40"/>
          <w:sz w:val="16"/>
          <w:szCs w:val="16"/>
          <w:rFonts w:ascii="Arial" w:eastAsia="Arial" w:hAnsi="Arial" w:cs="Arial"/>
        </w:rPr>
        <w:t xml:space="preserve">FIGURE L4</w:t>
      </w:r>
      <w:r>
        <w:t xml:space="preserve">   </w:t>
      </w:r>
      <w:r>
        <w:rPr>
          <w:i/>
          <w:iCs/>
          <w:color w:val="52606D"/>
          <w:sz w:val="18"/>
          <w:szCs w:val="18"/>
          <w:rFonts w:ascii="Arial" w:eastAsia="Arial" w:hAnsi="Arial" w:cs="Arial"/>
        </w:rPr>
        <w:t xml:space="preserve">PTUPCDR is within 17% of LightGCN on the source-rich cohort (was 42% in L3).</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Richer source embeddings help CDR. PTUPCDR closes the gap from −42% (L3) to −17% (L4). Single-domain models lose ground because the tighter movie filter removes their game-heavy users.</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Lesson 4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4 raises the movie-history minimum from ≥5 to ≥10 to test whether source-richness helps CDR close the remaining gap to LightGCN.</w:t>
      </w:r>
    </w:p>
    <w:p>
      <w:pPr>
        <w:spacing w:after="120" w:line="320"/>
      </w:pPr>
      <w:r>
        <w:rPr>
          <w:color w:val="1F2933"/>
          <w:rFonts w:ascii="Arial" w:eastAsia="Arial" w:hAnsi="Arial" w:cs="Arial"/>
        </w:rPr>
        <w:t xml:space="preserve">On the new 14,328-user cohort, </w:t>
      </w:r>
      <w:r>
        <w:rPr>
          <w:b/>
          <w:bCs/>
          <w:color w:val="1F2933"/>
          <w:rFonts w:ascii="Arial" w:eastAsia="Arial" w:hAnsi="Arial" w:cs="Arial"/>
        </w:rPr>
        <w:t xml:space="preserve">PTUPCDR narrows to 17% behind LightGCN (was 42% in L3), EMCDR to 34% (was 56%)</w:t>
      </w:r>
      <w:r>
        <w:rPr>
          <w:color w:val="1F2933"/>
          <w:rFonts w:ascii="Arial" w:eastAsia="Arial" w:hAnsi="Arial" w:cs="Arial"/>
        </w:rPr>
        <w:t xml:space="preserve">. LightGCN drops the most (−37% vs L3) because its best users — movie-poor but game-rich — were filtered out.</w:t>
      </w:r>
    </w:p>
    <w:p>
      <w:pPr>
        <w:spacing w:after="320" w:line="320"/>
      </w:pPr>
      <w:r>
        <w:rPr>
          <w:color w:val="1F2933"/>
          <w:rFonts w:ascii="Arial" w:eastAsia="Arial" w:hAnsi="Arial" w:cs="Arial"/>
        </w:rPr>
        <w:t xml:space="preserve">The takeaway: CDR's value grows as source-to-target signal ratio increases. The next natural test is cold-start — users with zero game history — where CDR should finally overtake LightGCN.</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 nearly matches LightGCN</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Gap narrows to </w:t>
            </w:r>
            <w:r>
              <w:rPr>
                <w:b/>
                <w:bCs/>
                <w:color w:val="20B2AA"/>
                <w:sz w:val="20"/>
                <w:szCs w:val="20"/>
                <w:rFonts w:ascii="Arial" w:eastAsia="Arial" w:hAnsi="Arial" w:cs="Arial"/>
              </w:rPr>
              <w:t xml:space="preserve">−17%</w:t>
            </w:r>
            <w:r>
              <w:rPr>
                <w:color w:val="1F2933"/>
                <w:sz w:val="20"/>
                <w:szCs w:val="20"/>
                <w:rFonts w:ascii="Arial" w:eastAsia="Arial" w:hAnsi="Arial" w:cs="Arial"/>
              </w:rPr>
              <w:t xml:space="preserve"> (was −42% in L3); EMCDR −34% (was −56%)</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 drops most</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−37% from L3. Tighter movie filter removes its game-heavy users.</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CDR is robust to the filter</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PTUPCDR only drops 9% vs L3; EMCDR 6%. Richer movie history compensates for fewer games.</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Trend holds across L2–L4</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CDR gap to LightGCN: −71% (L2) → −42% (L3) → −17% (L4). The cold-start regime should flip the ranking.</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5 </w:t>
      </w:r>
      <w:r>
        <w:rPr>
          <w:color w:val="1F2933"/>
          <w:sz w:val="22"/>
          <w:szCs w:val="22"/>
          <w:rFonts w:ascii="Arial" w:eastAsia="Arial" w:hAnsi="Arial" w:cs="Arial"/>
        </w:rPr>
        <w:t xml:space="preserve">sharpens the movie catalog: drop items with fewer than 10 ratings in the overlap subset to check whether a cleaner source domain lifts CDR further. Also balances source/target item counts for the first time.</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5.5  </w:t>
      </w:r>
      <w:r>
        <w:rPr>
          <w:b/>
          <w:bCs/>
          <w:color w:val="1F2933"/>
          <w:sz w:val="32"/>
          <w:szCs w:val="32"/>
          <w:rFonts w:ascii="Arial" w:eastAsia="Arial" w:hAnsi="Arial" w:cs="Arial"/>
        </w:rPr>
        <w:t xml:space="preserve">Lesson 5: Catalog Sharpening</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Lessons 3–4 filtered users. This lesson filters items — removing movies rated by fewer than 10 overlap users, on the theory that low-signal movies poison CDR source embeddings.</w:t>
      </w:r>
    </w:p>
    <w:p>
      <w:pPr>
        <w:spacing w:after="280" w:line="320"/>
      </w:pPr>
      <w:r>
        <w:rPr>
          <w:color w:val="1F2933"/>
          <w:rFonts w:ascii="Arial" w:eastAsia="Arial" w:hAnsi="Arial" w:cs="Arial"/>
        </w:rPr>
        <w:t xml:space="preserve">The global item k-core (≥20 ratings) was computed on the full 1M-user pre-overlap population. After keeping only 14,328 overlap users, the median movie has just 4 ratings from the people we actually train on — too sparse to learn a reliable source embedding.</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Does a post-overlap movie popularity filter (pop ≥ 10) improve CDR by cleaning the source-domain embedding space?</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Same L4 cohort (14,328 users, 100% overlap, movies ≥ 10) — only the </w:t>
      </w:r>
      <w:r>
        <w:rPr>
          <w:b/>
          <w:bCs/>
          <w:color w:val="1F2933"/>
          <w:rFonts w:ascii="Arial" w:eastAsia="Arial" w:hAnsi="Arial" w:cs="Arial"/>
        </w:rPr>
        <w:t xml:space="preserve">movie catalog changes: pop ≥ 10 within the overlap subset drops 39,534 → 10,311 items (−74%)</w:t>
      </w:r>
      <w:r>
        <w:rPr>
          <w:color w:val="1F2933"/>
          <w:rFonts w:ascii="Arial" w:eastAsia="Arial" w:hAnsi="Arial" w:cs="Arial"/>
        </w:rPr>
        <w:t xml:space="preserve">. Game side is unchanged.</w:t>
      </w:r>
    </w:p>
    <w:p>
      <w:pPr>
        <w:pStyle w:val="ListParagraph"/>
        <w:numPr>
          <w:ilvl w:val="0"/>
          <w:numId w:val="2"/>
        </w:numPr>
        <w:spacing w:after="80" w:line="300"/>
      </w:pPr>
      <w:r>
        <w:rPr>
          <w:b/>
          <w:bCs/>
          <w:color w:val="1F2933"/>
          <w:rFonts w:ascii="Arial" w:eastAsia="Arial" w:hAnsi="Arial" w:cs="Arial"/>
        </w:rPr>
        <w:t xml:space="preserve">Single-domain</w:t>
      </w:r>
      <w:r>
        <w:rPr>
          <w:color w:val="52606D"/>
          <w:rFonts w:ascii="Arial" w:eastAsia="Arial" w:hAnsi="Arial" w:cs="Arial"/>
        </w:rPr>
        <w:t xml:space="preserve">  —  MF-BPR, NCF, LightGCN</w:t>
      </w:r>
    </w:p>
    <w:p>
      <w:pPr>
        <w:pStyle w:val="ListParagraph"/>
        <w:numPr>
          <w:ilvl w:val="0"/>
          <w:numId w:val="2"/>
        </w:numPr>
        <w:spacing w:after="80" w:line="300"/>
      </w:pPr>
      <w:r>
        <w:rPr>
          <w:b/>
          <w:bCs/>
          <w:color w:val="1F2933"/>
          <w:rFonts w:ascii="Arial" w:eastAsia="Arial" w:hAnsi="Arial" w:cs="Arial"/>
        </w:rPr>
        <w:t xml:space="preserve">CDR</w:t>
      </w:r>
      <w:r>
        <w:rPr>
          <w:color w:val="52606D"/>
          <w:rFonts w:ascii="Arial" w:eastAsia="Arial" w:hAnsi="Arial" w:cs="Arial"/>
        </w:rPr>
        <w:t xml:space="preserve">  —  CMF, EMCDR, PTUPCDR</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full-rank Recall@10.</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7A5400"/>
          <w:sz w:val="16"/>
          <w:szCs w:val="16"/>
          <w:shd w:fill="FFF2CC" w:val="clear"/>
          <w:rFonts w:ascii="Arial" w:eastAsia="Arial" w:hAnsi="Arial" w:cs="Arial"/>
        </w:rPr>
        <w:t xml:space="preserve"> CHANGED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  (Δ from Lesson 4)</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14,328  (unchanged)</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Overlap</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14,308 (99.9%)  — negligible change</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items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10,311  (was 39,534, −74%)</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interactions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282,896  (was 388,919, −27%)</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Game items · interactions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9,147 · 58,782  (unchanged)</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Source · target balance</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10K movies : 9K games (≈1:1)  was 4:1</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w:t>
      </w:r>
    </w:p>
    <w:p>
      <w:pPr>
        <w:spacing w:after="240" w:line="320"/>
      </w:pPr>
      <w:r>
        <w:rPr>
          <w:color w:val="1F2933"/>
          <w:rFonts w:ascii="Arial" w:eastAsia="Arial" w:hAnsi="Arial" w:cs="Arial"/>
        </w:rPr>
        <w:t xml:space="preserve">The filter is a small step down for most models (−3% to −12%), but </w:t>
      </w:r>
      <w:r>
        <w:rPr>
          <w:b/>
          <w:bCs/>
          <w:color w:val="1F2933"/>
          <w:rFonts w:ascii="Arial" w:eastAsia="Arial" w:hAnsi="Arial" w:cs="Arial"/>
        </w:rPr>
        <w:t xml:space="preserve">NCF jumps +54% (0.0140 → 0.0215)</w:t>
      </w:r>
      <w:r>
        <w:rPr>
          <w:color w:val="1F2933"/>
          <w:rFonts w:ascii="Arial" w:eastAsia="Arial" w:hAnsi="Arial" w:cs="Arial"/>
        </w:rPr>
        <w:t xml:space="preserve"> and CDR models stay competitive. Balancing the catalog (10K movies ≈ 9K games) and removing noisy source items is the cleanest source domain we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760"/>
        <w:gridCol w:w="2400"/>
      </w:tblGrid>
      <w:tr>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3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1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24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Δ vs L4</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1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0.0315</w:t>
            </w:r>
          </w:p>
        </w:tc>
        <w:tc>
          <w:tcPr>
            <w:tcW w:type="dxa" w:w="2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−10%</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1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0.0255</w:t>
            </w:r>
          </w:p>
        </w:tc>
        <w:tc>
          <w:tcPr>
            <w:tcW w:type="dxa" w:w="2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−12%</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NCF</w:t>
            </w:r>
          </w:p>
        </w:tc>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Neural (single-domain)</w:t>
            </w:r>
          </w:p>
        </w:tc>
        <w:tc>
          <w:tcPr>
            <w:tcW w:type="dxa" w:w="1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0.0215</w:t>
            </w:r>
          </w:p>
        </w:tc>
        <w:tc>
          <w:tcPr>
            <w:tcW w:type="dxa" w:w="2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+54%</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EMCDR</w:t>
            </w:r>
          </w:p>
        </w:tc>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Mapping (CDR)</w:t>
            </w:r>
          </w:p>
        </w:tc>
        <w:tc>
          <w:tcPr>
            <w:tcW w:type="dxa" w:w="1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0.0210</w:t>
            </w:r>
          </w:p>
        </w:tc>
        <w:tc>
          <w:tcPr>
            <w:tcW w:type="dxa" w:w="2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−9%</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CMF</w:t>
            </w:r>
          </w:p>
        </w:tc>
        <w:tc>
          <w:tcPr>
            <w:tcW w:type="dxa" w:w="3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Joint MF (CDR)</w:t>
            </w:r>
          </w:p>
        </w:tc>
        <w:tc>
          <w:tcPr>
            <w:tcW w:type="dxa" w:w="1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0.0155</w:t>
            </w:r>
          </w:p>
        </w:tc>
        <w:tc>
          <w:tcPr>
            <w:tcW w:type="dxa" w:w="2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−3%</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3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MF (single-domain)</w:t>
            </w:r>
          </w:p>
        </w:tc>
        <w:tc>
          <w:tcPr>
            <w:tcW w:type="dxa" w:w="1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0.0070</w:t>
            </w:r>
          </w:p>
        </w:tc>
        <w:tc>
          <w:tcPr>
            <w:tcW w:type="dxa" w:w="2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w:t>
            </w:r>
          </w:p>
        </w:tc>
      </w:tr>
    </w:tbl>
    <w:p>
      <w:pPr>
        <w:spacing w:after="400" w:before="120"/>
      </w:pPr>
      <w:r>
        <w:rPr>
          <w:b/>
          <w:bCs/>
          <w:color w:val="2E5AAC"/>
          <w:spacing w:val="40"/>
          <w:sz w:val="16"/>
          <w:szCs w:val="16"/>
          <w:rFonts w:ascii="Arial" w:eastAsia="Arial" w:hAnsi="Arial" w:cs="Arial"/>
        </w:rPr>
        <w:t xml:space="preserve">TABLE L5</w:t>
      </w:r>
      <w:r>
        <w:t xml:space="preserve">   </w:t>
      </w:r>
      <w:r>
        <w:rPr>
          <w:i/>
          <w:iCs/>
          <w:color w:val="52606D"/>
          <w:sz w:val="18"/>
          <w:szCs w:val="18"/>
          <w:rFonts w:ascii="Arial" w:eastAsia="Arial" w:hAnsi="Arial" w:cs="Arial"/>
        </w:rPr>
        <w:t xml:space="preserve">Movie catalog sharpening (pop ≥ 10) — NCF benefits most; CDR stays competitive.</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Sharper catalog · NCF benefits most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0.0315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857"/>
              <w:gridCol w:w="1143"/>
            </w:tblGrid>
            <w:tr>
              <w:trPr>
                <w:trHeight w:val="320" w:hRule="exact"/>
              </w:trPr>
              <w:tc>
                <w:tcPr>
                  <w:tcW w:type="dxa" w:w="4857"/>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1143"/>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0.0255</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NCF</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095"/>
              <w:gridCol w:w="1905"/>
            </w:tblGrid>
            <w:tr>
              <w:trPr>
                <w:trHeight w:val="320" w:hRule="exact"/>
              </w:trPr>
              <w:tc>
                <w:tcPr>
                  <w:tcW w:type="dxa" w:w="4095"/>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1905"/>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0.0215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EMCDR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000"/>
              <w:gridCol w:w="2000"/>
            </w:tblGrid>
            <w:tr>
              <w:trPr>
                <w:trHeight w:val="320" w:hRule="exact"/>
              </w:trPr>
              <w:tc>
                <w:tcPr>
                  <w:tcW w:type="dxa" w:w="400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20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0.0210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CMF</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2952"/>
              <w:gridCol w:w="3048"/>
            </w:tblGrid>
            <w:tr>
              <w:trPr>
                <w:trHeight w:val="320" w:hRule="exact"/>
              </w:trPr>
              <w:tc>
                <w:tcPr>
                  <w:tcW w:type="dxa" w:w="2952"/>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304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0.0155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333"/>
              <w:gridCol w:w="4667"/>
            </w:tblGrid>
            <w:tr>
              <w:trPr>
                <w:trHeight w:val="320" w:hRule="exact"/>
              </w:trPr>
              <w:tc>
                <w:tcPr>
                  <w:tcW w:type="dxa" w:w="1333"/>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667"/>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0.0070</w:t>
            </w:r>
          </w:p>
        </w:tc>
      </w:tr>
    </w:tbl>
    <w:p>
      <w:pPr>
        <w:spacing w:after="320" w:before="240"/>
      </w:pPr>
      <w:r>
        <w:rPr>
          <w:b/>
          <w:bCs/>
          <w:color w:val="2E5AAC"/>
          <w:spacing w:val="40"/>
          <w:sz w:val="16"/>
          <w:szCs w:val="16"/>
          <w:rFonts w:ascii="Arial" w:eastAsia="Arial" w:hAnsi="Arial" w:cs="Arial"/>
        </w:rPr>
        <w:t xml:space="preserve">FIGURE L5</w:t>
      </w:r>
      <w:r>
        <w:t xml:space="preserve">   </w:t>
      </w:r>
      <w:r>
        <w:rPr>
          <w:i/>
          <w:iCs/>
          <w:color w:val="52606D"/>
          <w:sz w:val="18"/>
          <w:szCs w:val="18"/>
          <w:rFonts w:ascii="Arial" w:eastAsia="Arial" w:hAnsi="Arial" w:cs="Arial"/>
        </w:rPr>
        <w:t xml:space="preserve">Removing low-signal movies (pop &lt; 10) helps NCF dramatically and keeps CDR competitive with a balanced 1:1 source-to-target catalog.</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(partial) — </w:t>
      </w:r>
      <w:r>
        <w:rPr>
          <w:color w:val="1F2933"/>
          <w:sz w:val="22"/>
          <w:szCs w:val="22"/>
          <w:rFonts w:ascii="Arial" w:eastAsia="Arial" w:hAnsi="Arial" w:cs="Arial"/>
        </w:rPr>
        <w:t xml:space="preserve">Catalog sharpening balances the source/target domain (10K : 9K items) and produces the cleanest training dataset so far. NCF benefits +54%; CDR models stay within striking distance of LightGCN.</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Lesson 5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5 filters movies to those rated by ≥10 overlap users (pop ≥ 10), shrinking the movie catalog from 39,534 to 10,311 items and rebalancing the source/target domains to ≈1:1.</w:t>
      </w:r>
    </w:p>
    <w:p>
      <w:pPr>
        <w:spacing w:after="120" w:line="320"/>
      </w:pPr>
      <w:r>
        <w:rPr>
          <w:color w:val="1F2933"/>
          <w:rFonts w:ascii="Arial" w:eastAsia="Arial" w:hAnsi="Arial" w:cs="Arial"/>
        </w:rPr>
        <w:t xml:space="preserve">Most models drop 0–12% vs L4 — small cost for a much cleaner dataset. </w:t>
      </w:r>
      <w:r>
        <w:rPr>
          <w:b/>
          <w:bCs/>
          <w:color w:val="1F2933"/>
          <w:rFonts w:ascii="Arial" w:eastAsia="Arial" w:hAnsi="Arial" w:cs="Arial"/>
        </w:rPr>
        <w:t xml:space="preserve">NCF jumps +54% because it benefits most from a denser item space; CDR models remain competitive; LightGCN dips because fewer movie items mean fewer neighborhood edges in the bipartite graph.</w:t>
      </w:r>
    </w:p>
    <w:p>
      <w:pPr>
        <w:spacing w:after="320" w:line="320"/>
      </w:pPr>
      <w:r>
        <w:rPr>
          <w:color w:val="1F2933"/>
          <w:rFonts w:ascii="Arial" w:eastAsia="Arial" w:hAnsi="Arial" w:cs="Arial"/>
        </w:rPr>
        <w:t xml:space="preserve">The takeaway: the pop≥10 filter is the correct way to clean the source domain after overlap filtering, because the global item k-core was computed on the full pre-overlap population. This is the dataset we use for Lessons 6–7.</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NCF benefits most</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+54% vs L4 </w:t>
            </w:r>
            <w:r>
              <w:rPr>
                <w:color w:val="1F2933"/>
                <w:sz w:val="20"/>
                <w:szCs w:val="20"/>
                <w:rFonts w:ascii="Arial" w:eastAsia="Arial" w:hAnsi="Arial" w:cs="Arial"/>
              </w:rPr>
              <w:t xml:space="preserve">(0.0140 → 0.0215). Cleaner item space improves neural interaction learning.</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CDR remains competitive</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PTUPCDR −12%, EMCDR −9%, CMF −3%. Richer source embeddings offset the smaller catalog.</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LightGCN dips −10%</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Fewer movie items = fewer bipartite-graph edges = less neighborhood diversity for the source-side GCN.</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Root cause identified</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Median movie had 4 ratings from overlap users in L4 — too sparse for reliable source embeddings. pop ≥ 10 fixes this.</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6 </w:t>
      </w:r>
      <w:r>
        <w:rPr>
          <w:color w:val="1F2933"/>
          <w:sz w:val="22"/>
          <w:szCs w:val="22"/>
          <w:rFonts w:ascii="Arial" w:eastAsia="Arial" w:hAnsi="Arial" w:cs="Arial"/>
        </w:rPr>
        <w:t xml:space="preserve">switches to a user-split cold-start protocol: 2,000 users have zero game history in training. This is CDR's designed regime — single-domain models should collapse.</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5.6  </w:t>
      </w:r>
      <w:r>
        <w:rPr>
          <w:b/>
          <w:bCs/>
          <w:color w:val="1F2933"/>
          <w:sz w:val="32"/>
          <w:szCs w:val="32"/>
          <w:rFonts w:ascii="Arial" w:eastAsia="Arial" w:hAnsi="Arial" w:cs="Arial"/>
        </w:rPr>
        <w:t xml:space="preserve">Lesson 6: Cold-Start (Zero Game History)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Every previous lesson used leave-last-out — every test user had SOME training history. Lesson 6 changes the protocol: a subset of users have ALL their game interactions removed from training.</w:t>
      </w:r>
    </w:p>
    <w:p>
      <w:pPr>
        <w:spacing w:after="280" w:line="320"/>
      </w:pPr>
      <w:r>
        <w:rPr>
          <w:color w:val="1F2933"/>
          <w:rFonts w:ascii="Arial" w:eastAsia="Arial" w:hAnsi="Arial" w:cs="Arial"/>
        </w:rPr>
        <w:t xml:space="preserve">This is the hardest test for any recommender: predict games for users with zero game history. Single-domain models have nothing to learn from; CDR can still transfer from their movie preferences.</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When users have zero game history, do CDR mapping models (EMCDR, PTUPCDR) decisively beat single-domain models?</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We split the L3 overlap cohort (19,880 users, movies ≥ 5) into </w:t>
      </w:r>
      <w:r>
        <w:rPr>
          <w:b/>
          <w:bCs/>
          <w:color w:val="1F2933"/>
          <w:rFonts w:ascii="Arial" w:eastAsia="Arial" w:hAnsi="Arial" w:cs="Arial"/>
        </w:rPr>
        <w:t xml:space="preserve">80% warm users (train on all games) and 20% cold users (all games withheld in training)</w:t>
      </w:r>
      <w:r>
        <w:rPr>
          <w:color w:val="1F2933"/>
          <w:rFonts w:ascii="Arial" w:eastAsia="Arial" w:hAnsi="Arial" w:cs="Arial"/>
        </w:rPr>
        <w:t xml:space="preserve">. All 430K movie interactions stay in training. Evaluation is restricted to 2,000 cold users.</w:t>
      </w:r>
    </w:p>
    <w:p>
      <w:pPr>
        <w:pStyle w:val="ListParagraph"/>
        <w:numPr>
          <w:ilvl w:val="0"/>
          <w:numId w:val="2"/>
        </w:numPr>
        <w:spacing w:after="80" w:line="300"/>
      </w:pPr>
      <w:r>
        <w:rPr>
          <w:b/>
          <w:bCs/>
          <w:color w:val="1F2933"/>
          <w:rFonts w:ascii="Arial" w:eastAsia="Arial" w:hAnsi="Arial" w:cs="Arial"/>
        </w:rPr>
        <w:t xml:space="preserve">Single-domain</w:t>
      </w:r>
      <w:r>
        <w:rPr>
          <w:color w:val="52606D"/>
          <w:rFonts w:ascii="Arial" w:eastAsia="Arial" w:hAnsi="Arial" w:cs="Arial"/>
        </w:rPr>
        <w:t xml:space="preserve">  —  MF-BPR, NCF, LightGCN  —  no cold-user game signal</w:t>
      </w:r>
    </w:p>
    <w:p>
      <w:pPr>
        <w:pStyle w:val="ListParagraph"/>
        <w:numPr>
          <w:ilvl w:val="0"/>
          <w:numId w:val="2"/>
        </w:numPr>
        <w:spacing w:after="80" w:line="300"/>
      </w:pPr>
      <w:r>
        <w:rPr>
          <w:b/>
          <w:bCs/>
          <w:color w:val="1F2933"/>
          <w:rFonts w:ascii="Arial" w:eastAsia="Arial" w:hAnsi="Arial" w:cs="Arial"/>
        </w:rPr>
        <w:t xml:space="preserve">CDR</w:t>
      </w:r>
      <w:r>
        <w:rPr>
          <w:color w:val="52606D"/>
          <w:rFonts w:ascii="Arial" w:eastAsia="Arial" w:hAnsi="Arial" w:cs="Arial"/>
        </w:rPr>
        <w:t xml:space="preserve">  —  EMCDR, PTUPCDR  —  map from movie vector → game space</w:t>
      </w:r>
    </w:p>
    <w:p>
      <w:pPr>
        <w:pStyle w:val="ListParagraph"/>
        <w:numPr>
          <w:ilvl w:val="0"/>
          <w:numId w:val="2"/>
        </w:numPr>
        <w:spacing w:after="80" w:line="300"/>
      </w:pPr>
      <w:r>
        <w:rPr>
          <w:b/>
          <w:bCs/>
          <w:color w:val="1F2933"/>
          <w:rFonts w:ascii="Arial" w:eastAsia="Arial" w:hAnsi="Arial" w:cs="Arial"/>
        </w:rPr>
        <w:t xml:space="preserve">Baseline</w:t>
      </w:r>
      <w:r>
        <w:rPr>
          <w:color w:val="52606D"/>
          <w:rFonts w:ascii="Arial" w:eastAsia="Arial" w:hAnsi="Arial" w:cs="Arial"/>
        </w:rPr>
        <w:t xml:space="preserve">  —  Popularity  —  rank by warm-user game counts</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user-split cold-start, full-rank Recall@10 on cold users only.</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7A5400"/>
          <w:sz w:val="16"/>
          <w:szCs w:val="16"/>
          <w:shd w:fill="FFF2CC" w:val="clear"/>
          <w:rFonts w:ascii="Arial" w:eastAsia="Arial" w:hAnsi="Arial" w:cs="Arial"/>
        </w:rPr>
        <w:t xml:space="preserve"> CHANGED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Source dataset</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processed_overlap (L3 cohort, movies ≥ 5)</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Eligible users  (games ≥ 2, movies ≥ 5)</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12,654</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Warm users  (train)</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10,124  (80%)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Cold users  (zero games in train)</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2,530  (20%)</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Eval users  (cold, capped)</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2,000</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interactions  (all users)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430,736</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Game interactions  (warm only)</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64,057</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User-split cold-start 80/20</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  (cold users only)</w:t>
      </w:r>
    </w:p>
    <w:p>
      <w:pPr>
        <w:spacing w:after="240" w:line="320"/>
      </w:pPr>
      <w:r>
        <w:rPr>
          <w:color w:val="1F2933"/>
          <w:rFonts w:ascii="Arial" w:eastAsia="Arial" w:hAnsi="Arial" w:cs="Arial"/>
        </w:rPr>
        <w:t xml:space="preserve">The ranking flips completely. </w:t>
      </w:r>
      <w:r>
        <w:rPr>
          <w:b/>
          <w:bCs/>
          <w:color w:val="1F2933"/>
          <w:rFonts w:ascii="Arial" w:eastAsia="Arial" w:hAnsi="Arial" w:cs="Arial"/>
        </w:rPr>
        <w:t xml:space="preserve">CDR models hit Recall@10 ≈ 0.030 — roughly 4× LightGCN (0.0080) and infinitely better than MF-BPR (0.000)</w:t>
      </w:r>
      <w:r>
        <w:rPr>
          <w:color w:val="1F2933"/>
          <w:rFonts w:ascii="Arial" w:eastAsia="Arial" w:hAnsi="Arial" w:cs="Arial"/>
        </w:rPr>
        <w:t xml:space="preserve">. Popularity is the strongest baseline (0.0365) — cold users often pick well-known first games. CDR mapping matches Popularity, which is the correct regime for cold-start.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1680"/>
        <w:gridCol w:w="1680"/>
      </w:tblGrid>
      <w:tr>
        <w:tc>
          <w:tcPr>
            <w:tcW w:type="dxa" w:w="1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2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1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NDCG@10</w:t>
            </w:r>
          </w:p>
        </w:tc>
        <w:tc>
          <w:tcPr>
            <w:tcW w:type="dxa" w:w="168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 LightGCN</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Popularity</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Baseline</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0.0365</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0.0197</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4.6×</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0.0305</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0.0171</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3.8×</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EMCDR</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Mapping (CDR)</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0.0300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0.0174</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3.8×</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0.0080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0.0029</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1.0×</w:t>
            </w:r>
          </w:p>
        </w:tc>
      </w:tr>
      <w:tr>
        <w:tc>
          <w:tcPr>
            <w:tcW w:type="dxa" w:w="1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NCF</w:t>
            </w:r>
          </w:p>
        </w:tc>
        <w:tc>
          <w:tcPr>
            <w:tcW w:type="dxa" w:w="2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Neural (single-domain)</w:t>
            </w:r>
          </w:p>
        </w:tc>
        <w:tc>
          <w:tcPr>
            <w:tcW w:type="dxa" w:w="1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0.0020</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0.0006</w:t>
            </w:r>
          </w:p>
        </w:tc>
        <w:tc>
          <w:tcPr>
            <w:tcW w:type="dxa" w:w="168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0.25×</w:t>
            </w:r>
          </w:p>
        </w:tc>
      </w:tr>
      <w:tr>
        <w:tc>
          <w:tcPr>
            <w:tcW w:type="dxa" w:w="1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MF-BPR</w:t>
            </w:r>
          </w:p>
        </w:tc>
        <w:tc>
          <w:tcPr>
            <w:tcW w:type="dxa" w:w="2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MF (single-domain)</w:t>
            </w:r>
          </w:p>
        </w:tc>
        <w:tc>
          <w:tcPr>
            <w:tcW w:type="dxa" w:w="1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0.0000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0.0000</w:t>
            </w:r>
          </w:p>
        </w:tc>
        <w:tc>
          <w:tcPr>
            <w:tcW w:type="dxa" w:w="168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w:t>
            </w:r>
          </w:p>
        </w:tc>
      </w:tr>
    </w:tbl>
    <w:p>
      <w:pPr>
        <w:spacing w:after="400" w:before="120"/>
      </w:pPr>
      <w:r>
        <w:rPr>
          <w:b/>
          <w:bCs/>
          <w:color w:val="2E5AAC"/>
          <w:spacing w:val="40"/>
          <w:sz w:val="16"/>
          <w:szCs w:val="16"/>
          <w:rFonts w:ascii="Arial" w:eastAsia="Arial" w:hAnsi="Arial" w:cs="Arial"/>
        </w:rPr>
        <w:t xml:space="preserve">TABLE L6</w:t>
      </w:r>
      <w:r>
        <w:t xml:space="preserve">   </w:t>
      </w:r>
      <w:r>
        <w:rPr>
          <w:i/>
          <w:iCs/>
          <w:color w:val="52606D"/>
          <w:sz w:val="18"/>
          <w:szCs w:val="18"/>
          <w:rFonts w:ascii="Arial" w:eastAsia="Arial" w:hAnsi="Arial" w:cs="Arial"/>
        </w:rPr>
        <w:t xml:space="preserve">Cold-start (zero game history): CDR beats single-domain by 4×; Popularity is the strongest baseline.</w:t>
      </w:r>
    </w:p>
    <w:p>
      <w:pPr>
        <w:spacing w:after="80" w:before="0"/>
      </w:pPr>
      <w:r>
        <w:rPr>
          <w:b/>
          <w:bCs/>
          <w:color w:val="1F2933"/>
          <w:sz w:val="22"/>
          <w:szCs w:val="22"/>
          <w:rFonts w:ascii="Arial" w:eastAsia="Arial" w:hAnsi="Arial" w:cs="Arial"/>
        </w:rPr>
        <w:t xml:space="preserve">Recall@10</w:t>
      </w:r>
      <w:r>
        <w:rPr>
          <w:sz w:val="18"/>
          <w:szCs w:val="18"/>
        </w:rPr>
        <w:t xml:space="preserve">      </w:t>
      </w:r>
      <w:r>
        <w:rPr>
          <w:b/>
          <w:bCs/>
          <w:color w:val="20B2AA"/>
          <w:sz w:val="18"/>
          <w:szCs w:val="18"/>
          <w:rFonts w:ascii="Arial" w:eastAsia="Arial" w:hAnsi="Arial" w:cs="Arial"/>
        </w:rPr>
        <w:t xml:space="preserve">CDR wins 4× on cold users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Popularity</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0.0365</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5013"/>
              <w:gridCol w:w="987"/>
            </w:tblGrid>
            <w:tr>
              <w:trPr>
                <w:trHeight w:val="320" w:hRule="exact"/>
              </w:trPr>
              <w:tc>
                <w:tcPr>
                  <w:tcW w:type="dxa" w:w="5013"/>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987"/>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bCs/>
                <w:color w:val="20B2AA"/>
                <w:sz w:val="18"/>
                <w:szCs w:val="18"/>
                <w:rFonts w:ascii="Arial" w:eastAsia="Arial" w:hAnsi="Arial" w:cs="Arial"/>
              </w:rPr>
              <w:t xml:space="preserve">0.0305</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EMCDR</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931"/>
              <w:gridCol w:w="1069"/>
            </w:tblGrid>
            <w:tr>
              <w:trPr>
                <w:trHeight w:val="320" w:hRule="exact"/>
              </w:trPr>
              <w:tc>
                <w:tcPr>
                  <w:tcW w:type="dxa" w:w="4931"/>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1069"/>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0.0300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1315"/>
              <w:gridCol w:w="4685"/>
            </w:tblGrid>
            <w:tr>
              <w:trPr>
                <w:trHeight w:val="320" w:hRule="exact"/>
              </w:trPr>
              <w:tc>
                <w:tcPr>
                  <w:tcW w:type="dxa" w:w="1315"/>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4685"/>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0.0080</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NCF</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328"/>
              <w:gridCol w:w="5672"/>
            </w:tblGrid>
            <w:tr>
              <w:trPr>
                <w:trHeight w:val="320" w:hRule="exact"/>
              </w:trPr>
              <w:tc>
                <w:tcPr>
                  <w:tcW w:type="dxa" w:w="328"/>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672"/>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0.0020</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MF-BPR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0"/>
              <w:gridCol w:w="5960"/>
            </w:tblGrid>
            <w:tr>
              <w:trPr>
                <w:trHeight w:val="320" w:hRule="exact"/>
              </w:trPr>
              <w:tc>
                <w:tcPr>
                  <w:tcW w:type="dxa" w:w="4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0.0000</w:t>
            </w:r>
          </w:p>
        </w:tc>
      </w:tr>
    </w:tbl>
    <w:p>
      <w:pPr>
        <w:spacing w:after="320" w:before="240"/>
      </w:pPr>
      <w:r>
        <w:rPr>
          <w:b/>
          <w:bCs/>
          <w:color w:val="2E5AAC"/>
          <w:spacing w:val="40"/>
          <w:sz w:val="16"/>
          <w:szCs w:val="16"/>
          <w:rFonts w:ascii="Arial" w:eastAsia="Arial" w:hAnsi="Arial" w:cs="Arial"/>
        </w:rPr>
        <w:t xml:space="preserve">FIGURE L6</w:t>
      </w:r>
      <w:r>
        <w:t xml:space="preserve">   </w:t>
      </w:r>
      <w:r>
        <w:rPr>
          <w:i/>
          <w:iCs/>
          <w:color w:val="52606D"/>
          <w:sz w:val="18"/>
          <w:szCs w:val="18"/>
          <w:rFonts w:ascii="Arial" w:eastAsia="Arial" w:hAnsi="Arial" w:cs="Arial"/>
        </w:rPr>
        <w:t xml:space="preserve">The ranking inverts: CDR models match Popularity and dominate every collaborative single-domain model. MF-BPR is literally zero — without any game training data there is nothing to score.</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On cold users (zero game history), EMCDR and PTUPCDR both achieve ~4× Recall@10 over LightGCN. Single-domain collaborative models collapse. This directly justifies the routing rule: route zero-game users to CDR or Popularity.</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Lesson 6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6 withholds all game interactions for 2,000 cold users and asks every model to rank their held-out games.</w:t>
      </w:r>
    </w:p>
    <w:p>
      <w:pPr>
        <w:spacing w:after="120" w:line="320"/>
      </w:pPr>
      <w:r>
        <w:rPr>
          <w:color w:val="1F2933"/>
          <w:rFonts w:ascii="Arial" w:eastAsia="Arial" w:hAnsi="Arial" w:cs="Arial"/>
        </w:rPr>
        <w:t xml:space="preserve">CDR mapping models (EMCDR = 0.0300, PTUPCDR = 0.0305) deliver </w:t>
      </w:r>
      <w:r>
        <w:rPr>
          <w:b/>
          <w:bCs/>
          <w:color w:val="1F2933"/>
          <w:rFonts w:ascii="Arial" w:eastAsia="Arial" w:hAnsi="Arial" w:cs="Arial"/>
        </w:rPr>
        <w:t xml:space="preserve">~4× the Recall@10 of LightGCN (0.0080) — and Popularity leads at 0.0365 (4.6× LightGCN)</w:t>
      </w:r>
      <w:r>
        <w:rPr>
          <w:color w:val="1F2933"/>
          <w:rFonts w:ascii="Arial" w:eastAsia="Arial" w:hAnsi="Arial" w:cs="Arial"/>
        </w:rPr>
        <w:t xml:space="preserve">. Single-domain collaborative models (MF-BPR, NCF) collapse to near-zero because they have no cold-user game signal to learn from.</w:t>
      </w:r>
    </w:p>
    <w:p>
      <w:pPr>
        <w:spacing w:after="320" w:line="320"/>
      </w:pPr>
      <w:r>
        <w:rPr>
          <w:color w:val="1F2933"/>
          <w:rFonts w:ascii="Arial" w:eastAsia="Arial" w:hAnsi="Arial" w:cs="Arial"/>
        </w:rPr>
        <w:t xml:space="preserve">The takeaway: CDR is not just helpful for cold users, it is essential. Route zero-game users to EMCDR / PTUPCDR / Popularity — not LightGCN. This is the CDR-essential half of the routing rule we finalise in §6.1.</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CDR is essential for cold users</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PTUPCDR </w:t>
            </w:r>
            <w:r>
              <w:rPr>
                <w:b/>
                <w:bCs/>
                <w:color w:val="20B2AA"/>
                <w:sz w:val="20"/>
                <w:szCs w:val="20"/>
                <w:rFonts w:ascii="Arial" w:eastAsia="Arial" w:hAnsi="Arial" w:cs="Arial"/>
              </w:rPr>
              <w:t xml:space="preserve">3.8× LightGCN</w:t>
            </w:r>
            <w:r>
              <w:rPr>
                <w:color w:val="1F2933"/>
                <w:sz w:val="20"/>
                <w:szCs w:val="20"/>
                <w:rFonts w:ascii="Arial" w:eastAsia="Arial" w:hAnsi="Arial" w:cs="Arial"/>
              </w:rPr>
              <w:t xml:space="preserve">; EMCDR 3.8× LightGCN; MF-BPR = 0.0000</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Popularity is the strongest baseline</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0.0365 (4.6× LightGCN). First-game picks are often well-known titles.</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CDR ≈ Popularity</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Mapping models match popularity without dominating it — the correct regime for cold-start.</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Single-domain collapses</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MF-BPR = 0.000, NCF = 0.002. No game signal → random or uniform scores.</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7 </w:t>
      </w:r>
      <w:r>
        <w:rPr>
          <w:color w:val="1F2933"/>
          <w:sz w:val="22"/>
          <w:szCs w:val="22"/>
          <w:rFonts w:ascii="Arial" w:eastAsia="Arial" w:hAnsi="Arial" w:cs="Arial"/>
        </w:rPr>
        <w:t xml:space="preserve">introduces SBERT and SBERT-CDR — content-based recommenders that match items by their text descriptions. We look at how they perform on popular items overall and niche long-tail items where collaborative models are blind.</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5.7  </w:t>
      </w:r>
      <w:r>
        <w:rPr>
          <w:b/>
          <w:bCs/>
          <w:color w:val="1F2933"/>
          <w:sz w:val="32"/>
          <w:szCs w:val="32"/>
          <w:rFonts w:ascii="Arial" w:eastAsia="Arial" w:hAnsi="Arial" w:cs="Arial"/>
        </w:rPr>
        <w:t xml:space="preserve">Lesson 7: Content-Aware CDR (SBERT)</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Every model so far is collaborative — it learns from interactions. Collaborative filtering is systematically blind to long-tail items that few users have touched.</w:t>
      </w:r>
    </w:p>
    <w:p>
      <w:pPr>
        <w:spacing w:after="280" w:line="320"/>
      </w:pPr>
      <w:r>
        <w:rPr>
          <w:color w:val="1F2933"/>
          <w:rFonts w:ascii="Arial" w:eastAsia="Arial" w:hAnsi="Arial" w:cs="Arial"/>
        </w:rPr>
        <w:t xml:space="preserve">Lesson 7 adds two content-based models that read the text of each item (title + description) through a pretrained sentence-BERT encoder. No training on interactions — pure semantic similarity.</w:t>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HYPOTHESIS</w:t>
      </w:r>
    </w:p>
    <w:p>
      <w:pPr>
        <w:pBdr>
          <w:left w:val="single" w:color="2E5AAC" w:sz="24" w:space="12"/>
        </w:pBdr>
        <w:shd w:fill="F3F7FC" w:val="clear"/>
        <w:spacing w:after="0" w:before="0" w:line="320"/>
        <w:ind w:left="240"/>
      </w:pPr>
      <w:r>
        <w:rPr>
          <w:i/>
          <w:iCs/>
          <w:color w:val="1F2933"/>
          <w:sz w:val="22"/>
          <w:szCs w:val="22"/>
          <w:rFonts w:ascii="Arial" w:eastAsia="Arial" w:hAnsi="Arial" w:cs="Arial"/>
        </w:rPr>
        <w:t xml:space="preserve">Can SBERT-based content models match the best collaborative models overall AND dominate on niche (long-tail) target items where collaborative models fail?</w:t>
      </w:r>
    </w:p>
    <w:p>
      <w:pPr>
        <w:spacing w:after="280" w:before="0"/>
      </w:pPr>
      <w:r>
        <w:t xml:space="preserve"/>
      </w:r>
    </w:p>
    <w:p>
      <w:pPr>
        <w:pStyle w:val="Heading2"/>
        <w:spacing w:after="160" w:before="120"/>
      </w:pPr>
      <w:r>
        <w:rPr>
          <w:b/>
          <w:bCs/>
          <w:color w:val="2E5AAC"/>
          <w:sz w:val="26"/>
          <w:szCs w:val="26"/>
          <w:rFonts w:ascii="Arial" w:eastAsia="Arial" w:hAnsi="Arial" w:cs="Arial"/>
        </w:rPr>
        <w:t xml:space="preserve">Setup</w:t>
      </w:r>
    </w:p>
    <w:p>
      <w:pPr>
        <w:spacing w:after="120" w:line="320"/>
      </w:pPr>
      <w:r>
        <w:rPr>
          <w:color w:val="1F2933"/>
          <w:rFonts w:ascii="Arial" w:eastAsia="Arial" w:hAnsi="Arial" w:cs="Arial"/>
        </w:rPr>
        <w:t xml:space="preserve">We use the same 14,328-user source-rich cohort from L4, add two new content models, and compare standard leave-last-out Recall@10 overall and broken down by </w:t>
      </w:r>
      <w:r>
        <w:rPr>
          <w:b/>
          <w:bCs/>
          <w:color w:val="1F2933"/>
          <w:rFonts w:ascii="Arial" w:eastAsia="Arial" w:hAnsi="Arial" w:cs="Arial"/>
        </w:rPr>
        <w:t xml:space="preserve">user-item subgroup</w:t>
      </w:r>
      <w:r>
        <w:rPr>
          <w:color w:val="1F2933"/>
          <w:rFonts w:ascii="Arial" w:eastAsia="Arial" w:hAnsi="Arial" w:cs="Arial"/>
        </w:rPr>
        <w:t xml:space="preserve"> (warm vs cold, popular vs niche).</w:t>
      </w:r>
    </w:p>
    <w:p>
      <w:pPr>
        <w:pStyle w:val="ListParagraph"/>
        <w:numPr>
          <w:ilvl w:val="0"/>
          <w:numId w:val="2"/>
        </w:numPr>
        <w:spacing w:after="80" w:line="300"/>
      </w:pPr>
      <w:r>
        <w:rPr>
          <w:b/>
          <w:bCs/>
          <w:color w:val="1F2933"/>
          <w:rFonts w:ascii="Arial" w:eastAsia="Arial" w:hAnsi="Arial" w:cs="Arial"/>
        </w:rPr>
        <w:t xml:space="preserve">Content (training-free)</w:t>
      </w:r>
      <w:r>
        <w:rPr>
          <w:color w:val="52606D"/>
          <w:rFonts w:ascii="Arial" w:eastAsia="Arial" w:hAnsi="Arial" w:cs="Arial"/>
        </w:rPr>
        <w:t xml:space="preserve">  —  SBERT (single-domain, game-side), SBERT-CDR (uses movie titles too)</w:t>
      </w:r>
    </w:p>
    <w:p>
      <w:pPr>
        <w:pStyle w:val="ListParagraph"/>
        <w:numPr>
          <w:ilvl w:val="0"/>
          <w:numId w:val="2"/>
        </w:numPr>
        <w:spacing w:after="80" w:line="300"/>
      </w:pPr>
      <w:r>
        <w:rPr>
          <w:b/>
          <w:bCs/>
          <w:color w:val="1F2933"/>
          <w:rFonts w:ascii="Arial" w:eastAsia="Arial" w:hAnsi="Arial" w:cs="Arial"/>
        </w:rPr>
        <w:t xml:space="preserve">Collaborative benchmarks</w:t>
      </w:r>
      <w:r>
        <w:rPr>
          <w:color w:val="52606D"/>
          <w:rFonts w:ascii="Arial" w:eastAsia="Arial" w:hAnsi="Arial" w:cs="Arial"/>
        </w:rPr>
        <w:t xml:space="preserve">  —  LightGCN (graph), PTUPCDR (CDR mapping)</w:t>
      </w:r>
    </w:p>
    <w:p>
      <w:pPr>
        <w:spacing w:after="320" w:line="300"/>
      </w:pPr>
      <w:r>
        <w:rPr>
          <w:b/>
          <w:bCs/>
          <w:color w:val="52606D"/>
          <w:rFonts w:ascii="Arial" w:eastAsia="Arial" w:hAnsi="Arial" w:cs="Arial"/>
        </w:rPr>
        <w:t xml:space="preserve">Evaluation: </w:t>
      </w:r>
      <w:r>
        <w:rPr>
          <w:color w:val="52606D"/>
          <w:rFonts w:ascii="Arial" w:eastAsia="Arial" w:hAnsi="Arial" w:cs="Arial"/>
        </w:rPr>
        <w:t xml:space="preserve">leave-last-out on games; SBERT encoder is all-MiniLM-L6-v2 (384-dim).</w:t>
      </w:r>
    </w:p>
    <w:p>
      <w:pPr>
        <w:pStyle w:val="Heading2"/>
        <w:spacing w:after="160" w:before="120"/>
      </w:pPr>
      <w:r>
        <w:rPr>
          <w:b/>
          <w:bCs/>
          <w:color w:val="2E5AAC"/>
          <w:sz w:val="26"/>
          <w:szCs w:val="26"/>
          <w:rFonts w:ascii="Arial" w:eastAsia="Arial" w:hAnsi="Arial" w:cs="Arial"/>
        </w:rPr>
        <w:t xml:space="preserve">Dataset</w:t>
      </w:r>
      <w:r>
        <w:t xml:space="preserve">   </w:t>
      </w:r>
      <w:r>
        <w:rPr>
          <w:b/>
          <w:bCs/>
          <w:color w:val="155724"/>
          <w:sz w:val="16"/>
          <w:szCs w:val="16"/>
          <w:shd w:fill="D4EDDA" w:val="clear"/>
          <w:rFonts w:ascii="Arial" w:eastAsia="Arial" w:hAnsi="Arial" w:cs="Arial"/>
        </w:rPr>
        <w:t xml:space="preserve"> SAME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Property</w:t>
            </w:r>
          </w:p>
        </w:tc>
        <w:tc>
          <w:tcPr>
            <w:tcW w:type="dxa" w:w="61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Value  (same as Lesson 4)</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Users  (100% overlap)</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14,328</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Movie · game items</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39,534 · 9,147</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 · game interactions</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388,919 · 58,782</w:t>
            </w:r>
          </w:p>
        </w:tc>
      </w:tr>
      <w:tr>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SBERT encoder</w:t>
            </w:r>
          </w:p>
        </w:tc>
        <w:tc>
          <w:tcPr>
            <w:tcW w:type="dxa" w:w="61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all-MiniLM-L6-v2 (384-dim)</w:t>
            </w:r>
          </w:p>
        </w:tc>
      </w:tr>
      <w:tr>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Split</w:t>
            </w:r>
          </w:p>
        </w:tc>
        <w:tc>
          <w:tcPr>
            <w:tcW w:type="dxa" w:w="61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Leave-last-out on games</w:t>
            </w:r>
          </w:p>
        </w:tc>
      </w:tr>
    </w:tbl>
    <w:p>
      <w:pPr>
        <w:spacing w:after="320" w:before="0"/>
      </w:pPr>
      <w:r>
        <w:t xml:space="preserve"/>
      </w:r>
    </w:p>
    <w:p>
      <w:r>
        <w:br w:type="page"/>
      </w:r>
    </w:p>
    <w:p>
      <w:pPr>
        <w:pStyle w:val="Heading2"/>
        <w:spacing w:after="160" w:before="120"/>
      </w:pPr>
      <w:r>
        <w:rPr>
          <w:b/>
          <w:bCs/>
          <w:color w:val="2E5AAC"/>
          <w:sz w:val="26"/>
          <w:szCs w:val="26"/>
          <w:rFonts w:ascii="Arial" w:eastAsia="Arial" w:hAnsi="Arial" w:cs="Arial"/>
        </w:rPr>
        <w:t xml:space="preserve">Results — overall</w:t>
      </w:r>
    </w:p>
    <w:p>
      <w:pPr>
        <w:spacing w:after="240" w:line="320"/>
      </w:pPr>
      <w:r>
        <w:rPr>
          <w:color w:val="1F2933"/>
          <w:rFonts w:ascii="Arial" w:eastAsia="Arial" w:hAnsi="Arial" w:cs="Arial"/>
        </w:rPr>
        <w:t xml:space="preserve">SBERT-based models match the best collaborative model overall. </w:t>
      </w:r>
      <w:r>
        <w:rPr>
          <w:b/>
          <w:bCs/>
          <w:color w:val="1F2933"/>
          <w:rFonts w:ascii="Arial" w:eastAsia="Arial" w:hAnsi="Arial" w:cs="Arial"/>
        </w:rPr>
        <w:t xml:space="preserve">SBERT-CDR reaches 0.0330 — within 1.5% of LightGCN; plain SBERT is 0.0310 with zero training</w:t>
      </w:r>
      <w:r>
        <w:rPr>
          <w:color w:val="1F2933"/>
          <w:rFonts w:ascii="Arial" w:eastAsia="Arial" w:hAnsi="Arial" w:cs="Arial"/>
        </w:rPr>
        <w:t xml:space="preserve">. Both beat PTUPCDR (0.0220). Content models are now a first-class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Model</w:t>
            </w:r>
          </w:p>
        </w:tc>
        <w:tc>
          <w:tcPr>
            <w:tcW w:type="dxa" w:w="32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Family</w:t>
            </w:r>
          </w:p>
        </w:tc>
        <w:tc>
          <w:tcPr>
            <w:tcW w:type="dxa" w:w="20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Recall@10</w:t>
            </w:r>
          </w:p>
        </w:tc>
        <w:tc>
          <w:tcPr>
            <w:tcW w:type="dxa" w:w="19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 of LightGCN</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Graph (single-domain)</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0.0335</w:t>
            </w:r>
          </w:p>
        </w:tc>
        <w:tc>
          <w:tcPr>
            <w:tcW w:type="dxa" w:w="19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100%</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SBERT-CDR</w:t>
            </w:r>
          </w:p>
        </w:tc>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Content (CDR, no training)</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0.0330</w:t>
            </w:r>
          </w:p>
        </w:tc>
        <w:tc>
          <w:tcPr>
            <w:tcW w:type="dxa" w:w="19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98.5%</w:t>
            </w:r>
          </w:p>
        </w:tc>
      </w:tr>
      <w:tr>
        <w:tc>
          <w:tcPr>
            <w:tcW w:type="dxa" w:w="2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SBERT</w:t>
            </w:r>
          </w:p>
        </w:tc>
        <w:tc>
          <w:tcPr>
            <w:tcW w:type="dxa" w:w="32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Content (single-domain)</w:t>
            </w:r>
          </w:p>
        </w:tc>
        <w:tc>
          <w:tcPr>
            <w:tcW w:type="dxa" w:w="20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0.0310</w:t>
            </w:r>
          </w:p>
        </w:tc>
        <w:tc>
          <w:tcPr>
            <w:tcW w:type="dxa" w:w="19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92.5%</w:t>
            </w:r>
          </w:p>
        </w:tc>
      </w:tr>
      <w:tr>
        <w:tc>
          <w:tcPr>
            <w:tcW w:type="dxa" w:w="2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c>
          <w:tcPr>
            <w:tcW w:type="dxa" w:w="32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Personalized mapping (CDR)</w:t>
            </w:r>
          </w:p>
        </w:tc>
        <w:tc>
          <w:tcPr>
            <w:tcW w:type="dxa" w:w="20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0.0220</w:t>
            </w:r>
          </w:p>
        </w:tc>
        <w:tc>
          <w:tcPr>
            <w:tcW w:type="dxa" w:w="19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65.7%</w:t>
            </w:r>
          </w:p>
        </w:tc>
      </w:tr>
    </w:tbl>
    <w:p>
      <w:pPr>
        <w:spacing w:after="400" w:before="120"/>
      </w:pPr>
      <w:r>
        <w:rPr>
          <w:b/>
          <w:bCs/>
          <w:color w:val="2E5AAC"/>
          <w:spacing w:val="40"/>
          <w:sz w:val="16"/>
          <w:szCs w:val="16"/>
          <w:rFonts w:ascii="Arial" w:eastAsia="Arial" w:hAnsi="Arial" w:cs="Arial"/>
        </w:rPr>
        <w:t xml:space="preserve">TABLE L7a</w:t>
      </w:r>
      <w:r>
        <w:t xml:space="preserve">   </w:t>
      </w:r>
      <w:r>
        <w:rPr>
          <w:i/>
          <w:iCs/>
          <w:color w:val="52606D"/>
          <w:sz w:val="18"/>
          <w:szCs w:val="18"/>
          <w:rFonts w:ascii="Arial" w:eastAsia="Arial" w:hAnsi="Arial" w:cs="Arial"/>
        </w:rPr>
        <w:t xml:space="preserve">Overall Recall@10 — SBERT-CDR essentially matches LightGCN with zero training; plain SBERT reaches 92%.</w:t>
      </w:r>
    </w:p>
    <w:p>
      <w:pPr>
        <w:pStyle w:val="Heading2"/>
        <w:spacing w:after="160" w:before="120"/>
      </w:pPr>
      <w:r>
        <w:rPr>
          <w:b/>
          <w:bCs/>
          <w:color w:val="2E5AAC"/>
          <w:sz w:val="26"/>
          <w:szCs w:val="26"/>
          <w:rFonts w:ascii="Arial" w:eastAsia="Arial" w:hAnsi="Arial" w:cs="Arial"/>
        </w:rPr>
        <w:t xml:space="preserve">Results — niche subgroup</w:t>
      </w:r>
    </w:p>
    <w:p>
      <w:pPr>
        <w:spacing w:after="240" w:line="320"/>
      </w:pPr>
      <w:r>
        <w:rPr>
          <w:color w:val="1F2933"/>
          <w:rFonts w:ascii="Arial" w:eastAsia="Arial" w:hAnsi="Arial" w:cs="Arial"/>
        </w:rPr>
        <w:t xml:space="preserve">The real story is subgroup performance. On </w:t>
      </w:r>
      <w:r>
        <w:rPr>
          <w:b/>
          <w:bCs/>
          <w:color w:val="1F2933"/>
          <w:rFonts w:ascii="Arial" w:eastAsia="Arial" w:hAnsi="Arial" w:cs="Arial"/>
        </w:rPr>
        <w:t xml:space="preserve">one_shot_unpopular_target_user</w:t>
      </w:r>
      <w:r>
        <w:rPr>
          <w:color w:val="1F2933"/>
          <w:rFonts w:ascii="Arial" w:eastAsia="Arial" w:hAnsi="Arial" w:cs="Arial"/>
        </w:rPr>
        <w:t xml:space="preserve"> (users with one training game, test game is niche) SBERT wins </w:t>
      </w:r>
      <w:r>
        <w:rPr>
          <w:b/>
          <w:bCs/>
          <w:color w:val="1F2933"/>
          <w:rFonts w:ascii="Arial" w:eastAsia="Arial" w:hAnsi="Arial" w:cs="Arial"/>
        </w:rPr>
        <w:t xml:space="preserve">Recall@10 = 0.1341 vs LightGCN = 0.0122 — an 11× advantage</w:t>
      </w:r>
      <w:r>
        <w:rPr>
          <w:color w:val="1F2933"/>
          <w:rFonts w:ascii="Arial" w:eastAsia="Arial" w:hAnsi="Arial" w:cs="Arial"/>
        </w:rPr>
        <w:t xml:space="preserve">. Collaborative models are blind to long-tail items; semantic similarity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400"/>
        <w:gridCol w:w="1400"/>
        <w:gridCol w:w="1400"/>
        <w:gridCol w:w="1460"/>
      </w:tblGrid>
      <w:tr>
        <w:tc>
          <w:tcPr>
            <w:tcW w:type="dxa" w:w="28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Subgroup</w:t>
            </w:r>
          </w:p>
        </w:tc>
        <w:tc>
          <w:tcPr>
            <w:tcW w:type="dxa" w:w="9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n</w:t>
            </w:r>
          </w:p>
        </w:tc>
        <w:tc>
          <w:tcPr>
            <w:tcW w:type="dxa" w:w="14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SBERT</w:t>
            </w:r>
          </w:p>
        </w:tc>
        <w:tc>
          <w:tcPr>
            <w:tcW w:type="dxa" w:w="14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SBERT-CDR</w:t>
            </w:r>
          </w:p>
        </w:tc>
        <w:tc>
          <w:tcPr>
            <w:tcW w:type="dxa" w:w="14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LightGCN</w:t>
            </w:r>
          </w:p>
        </w:tc>
        <w:tc>
          <w:tcPr>
            <w:tcW w:type="dxa" w:w="14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PTUPCDR</w:t>
            </w:r>
          </w:p>
        </w:tc>
      </w:tr>
      <w:tr>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one_shot_unpopular_target</w:t>
            </w:r>
          </w:p>
        </w:tc>
        <w:tc>
          <w:tcPr>
            <w:tcW w:type="dxa" w:w="9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82</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0.1341</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0.1098</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0.0122</w:t>
            </w:r>
          </w:p>
        </w:tc>
        <w:tc>
          <w:tcPr>
            <w:tcW w:type="dxa" w:w="14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52606D"/>
                <w:sz w:val="20"/>
                <w:szCs w:val="20"/>
                <w:rFonts w:ascii="Arial" w:eastAsia="Arial" w:hAnsi="Arial" w:cs="Arial"/>
              </w:rPr>
              <w:t xml:space="preserve">0.0000</w:t>
            </w:r>
          </w:p>
        </w:tc>
      </w:tr>
      <w:tr>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high_source_unpopular_low_target</w:t>
            </w:r>
          </w:p>
        </w:tc>
        <w:tc>
          <w:tcPr>
            <w:tcW w:type="dxa" w:w="9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46</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0.1304</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0.1087</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0.0217</w:t>
            </w:r>
          </w:p>
        </w:tc>
        <w:tc>
          <w:tcPr>
            <w:tcW w:type="dxa" w:w="14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0.0000</w:t>
            </w:r>
          </w:p>
        </w:tc>
      </w:tr>
      <w:tr>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one_shot_target (popular)</w:t>
            </w:r>
          </w:p>
        </w:tc>
        <w:tc>
          <w:tcPr>
            <w:tcW w:type="dxa" w:w="9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449</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0.0713</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0.0668</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0.0557</w:t>
            </w:r>
          </w:p>
        </w:tc>
        <w:tc>
          <w:tcPr>
            <w:tcW w:type="dxa" w:w="14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0.0379</w:t>
            </w:r>
          </w:p>
        </w:tc>
      </w:tr>
      <w:tr>
        <w:tc>
          <w:tcPr>
            <w:tcW w:type="dxa" w:w="28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super_cold_users</w:t>
            </w:r>
          </w:p>
        </w:tc>
        <w:tc>
          <w:tcPr>
            <w:tcW w:type="dxa" w:w="9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904</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52606D"/>
                <w:sz w:val="20"/>
                <w:szCs w:val="20"/>
                <w:rFonts w:ascii="Arial" w:eastAsia="Arial" w:hAnsi="Arial" w:cs="Arial"/>
              </w:rPr>
              <w:t xml:space="preserve">0.0000</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0.0144</w:t>
            </w:r>
          </w:p>
        </w:tc>
        <w:tc>
          <w:tcPr>
            <w:tcW w:type="dxa" w:w="14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0.0055</w:t>
            </w:r>
          </w:p>
        </w:tc>
        <w:tc>
          <w:tcPr>
            <w:tcW w:type="dxa" w:w="14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20B2AA"/>
                <w:sz w:val="20"/>
                <w:szCs w:val="20"/>
                <w:rFonts w:ascii="Arial" w:eastAsia="Arial" w:hAnsi="Arial" w:cs="Arial"/>
              </w:rPr>
              <w:t xml:space="preserve">0.0265</w:t>
            </w:r>
          </w:p>
        </w:tc>
      </w:tr>
      <w:tr>
        <w:tc>
          <w:tcPr>
            <w:tcW w:type="dxa" w:w="28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movie_heavy</w:t>
            </w:r>
          </w:p>
        </w:tc>
        <w:tc>
          <w:tcPr>
            <w:tcW w:type="dxa" w:w="9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350</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0.0371</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0.0257</w:t>
            </w:r>
          </w:p>
        </w:tc>
        <w:tc>
          <w:tcPr>
            <w:tcW w:type="dxa" w:w="14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20B2AA"/>
                <w:sz w:val="20"/>
                <w:szCs w:val="20"/>
                <w:rFonts w:ascii="Arial" w:eastAsia="Arial" w:hAnsi="Arial" w:cs="Arial"/>
              </w:rPr>
              <w:t xml:space="preserve">0.0571</w:t>
            </w:r>
          </w:p>
        </w:tc>
        <w:tc>
          <w:tcPr>
            <w:tcW w:type="dxa" w:w="14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0.0400</w:t>
            </w:r>
          </w:p>
        </w:tc>
      </w:tr>
    </w:tbl>
    <w:p>
      <w:pPr>
        <w:spacing w:after="400" w:before="120"/>
      </w:pPr>
      <w:r>
        <w:rPr>
          <w:b/>
          <w:bCs/>
          <w:color w:val="2E5AAC"/>
          <w:spacing w:val="40"/>
          <w:sz w:val="16"/>
          <w:szCs w:val="16"/>
          <w:rFonts w:ascii="Arial" w:eastAsia="Arial" w:hAnsi="Arial" w:cs="Arial"/>
        </w:rPr>
        <w:t xml:space="preserve">TABLE L7b</w:t>
      </w:r>
      <w:r>
        <w:t xml:space="preserve">   </w:t>
      </w:r>
      <w:r>
        <w:rPr>
          <w:i/>
          <w:iCs/>
          <w:color w:val="52606D"/>
          <w:sz w:val="18"/>
          <w:szCs w:val="18"/>
          <w:rFonts w:ascii="Arial" w:eastAsia="Arial" w:hAnsi="Arial" w:cs="Arial"/>
        </w:rPr>
        <w:t xml:space="preserve">Subgroup Recall@10 — SBERT dominates on niche items (11× LightGCN); LightGCN dominates movie-heavy users.</w:t>
      </w:r>
    </w:p>
    <w:p>
      <w:pPr>
        <w:spacing w:after="80" w:before="0"/>
      </w:pPr>
      <w:r>
        <w:rPr>
          <w:b/>
          <w:bCs/>
          <w:color w:val="1F2933"/>
          <w:sz w:val="22"/>
          <w:szCs w:val="22"/>
          <w:rFonts w:ascii="Arial" w:eastAsia="Arial" w:hAnsi="Arial" w:cs="Arial"/>
        </w:rPr>
        <w:t xml:space="preserve">Recall@10  ·  one_shot_unpopular_target subgroup</w:t>
      </w:r>
      <w:r>
        <w:rPr>
          <w:sz w:val="18"/>
          <w:szCs w:val="18"/>
        </w:rPr>
        <w:t xml:space="preserve">      </w:t>
      </w:r>
      <w:r>
        <w:rPr>
          <w:b/>
          <w:bCs/>
          <w:color w:val="20B2AA"/>
          <w:sz w:val="18"/>
          <w:szCs w:val="18"/>
          <w:rFonts w:ascii="Arial" w:eastAsia="Arial" w:hAnsi="Arial" w:cs="Arial"/>
        </w:rPr>
        <w:t xml:space="preserve">11× win for SBERT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900"/>
        <w:gridCol w:w="6000"/>
        <w:gridCol w:w="1460"/>
      </w:tblGrid>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SBERT</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6000"/>
              <w:gridCol w:w="0"/>
            </w:tblGrid>
            <w:tr>
              <w:trPr>
                <w:trHeight w:val="320" w:hRule="exact"/>
              </w:trPr>
              <w:tc>
                <w:tcPr>
                  <w:tcW w:type="dxa" w:w="6000"/>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bCs/>
                <w:color w:val="20B2AA"/>
                <w:sz w:val="18"/>
                <w:szCs w:val="18"/>
                <w:rFonts w:ascii="Arial" w:eastAsia="Arial" w:hAnsi="Arial" w:cs="Arial"/>
              </w:rPr>
              <w:t xml:space="preserve">0.1341</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true"/>
                <w:bCs w:val="true"/>
                <w:color w:val="1F2933"/>
                <w:sz w:val="18"/>
                <w:szCs w:val="18"/>
                <w:rFonts w:ascii="Arial" w:eastAsia="Arial" w:hAnsi="Arial" w:cs="Arial"/>
              </w:rPr>
              <w:t xml:space="preserve">SBERT-CDR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912"/>
              <w:gridCol w:w="1088"/>
            </w:tblGrid>
            <w:tr>
              <w:trPr>
                <w:trHeight w:val="320" w:hRule="exact"/>
              </w:trPr>
              <w:tc>
                <w:tcPr>
                  <w:tcW w:type="dxa" w:w="4912"/>
                  <w:tcBorders>
                    <w:top w:val="none" w:color="FFFFFF" w:sz="0"/>
                    <w:left w:val="none" w:color="FFFFFF" w:sz="0"/>
                    <w:bottom w:val="none" w:color="FFFFFF" w:sz="0"/>
                    <w:right w:val="none" w:color="FFFFFF" w:sz="0"/>
                  </w:tcBorders>
                  <w:shd w:fill="20B2AA" w:val="clear"/>
                  <w:tcMar>
                    <w:top w:type="dxa" w:w="0"/>
                    <w:left w:type="dxa" w:w="0"/>
                    <w:bottom w:type="dxa" w:w="0"/>
                    <w:right w:type="dxa" w:w="0"/>
                  </w:tcMar>
                </w:tcPr>
                <w:p>
                  <w:pPr>
                    <w:spacing w:after="0" w:before="0"/>
                  </w:pPr>
                  <w:r>
                    <w:t xml:space="preserve"/>
                  </w:r>
                </w:p>
              </w:tc>
              <w:tc>
                <w:tcPr>
                  <w:tcW w:type="dxa" w:w="1088"/>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bCs/>
                <w:color w:val="20B2AA"/>
                <w:sz w:val="18"/>
                <w:szCs w:val="18"/>
                <w:rFonts w:ascii="Arial" w:eastAsia="Arial" w:hAnsi="Arial" w:cs="Arial"/>
              </w:rPr>
              <w:t xml:space="preserve">0.1098</w:t>
            </w:r>
          </w:p>
        </w:tc>
      </w:tr>
      <w:tr>
        <w:tc>
          <w:tcPr>
            <w:tcW w:type="dxa" w:w="1900"/>
            <w:tcBorders>
              <w:top w:val="none" w:color="FFFFFF" w:sz="0"/>
              <w:left w:val="none" w:color="FFFFFF" w:sz="0"/>
              <w:bottom w:val="none" w:color="FFFFFF" w:sz="0"/>
              <w:right w:val="none" w:color="FFFFFF" w:sz="0"/>
            </w:tcBorders>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LightGCN</w:t>
            </w:r>
          </w:p>
        </w:tc>
        <w:tc>
          <w:tcPr>
            <w:tcW w:type="dxa" w:w="6000"/>
            <w:tcBorders>
              <w:top w:val="none" w:color="FFFFFF" w:sz="0"/>
              <w:left w:val="none" w:color="FFFFFF" w:sz="0"/>
              <w:bottom w:val="none" w:color="FFFFFF" w:sz="0"/>
              <w:right w:val="none" w:color="FFFFFF" w:sz="0"/>
            </w:tcBorders>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545"/>
              <w:gridCol w:w="5455"/>
            </w:tblGrid>
            <w:tr>
              <w:trPr>
                <w:trHeight w:val="320" w:hRule="exact"/>
              </w:trPr>
              <w:tc>
                <w:tcPr>
                  <w:tcW w:type="dxa" w:w="545"/>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455"/>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0.0122</w:t>
            </w:r>
          </w:p>
        </w:tc>
      </w:tr>
      <w:tr>
        <w:tc>
          <w:tcPr>
            <w:tcW w:type="dxa" w:w="1900"/>
            <w:tcBorders>
              <w:top w:val="none" w:color="FFFFFF" w:sz="0"/>
              <w:left w:val="none" w:color="FFFFFF" w:sz="0"/>
              <w:bottom w:val="none" w:color="FFFFFF" w:sz="0"/>
              <w:right w:val="none" w:color="FFFFFF" w:sz="0"/>
            </w:tcBorders>
            <w:shd w:fill="FAFBFC" w:val="clear"/>
            <w:tcMar>
              <w:top w:type="dxa" w:w="60"/>
              <w:left w:type="dxa" w:w="160"/>
              <w:bottom w:type="dxa" w:w="60"/>
              <w:right w:type="dxa" w:w="120"/>
            </w:tcMar>
            <w:vAlign w:val="center"/>
          </w:tcPr>
          <w:p>
            <w:r>
              <w:rPr>
                <w:b w:val="false"/>
                <w:bCs w:val="false"/>
                <w:color w:val="1F2933"/>
                <w:sz w:val="18"/>
                <w:szCs w:val="18"/>
                <w:rFonts w:ascii="Arial" w:eastAsia="Arial" w:hAnsi="Arial" w:cs="Arial"/>
              </w:rPr>
              <w:t xml:space="preserve">PTUPCDR</w:t>
            </w:r>
          </w:p>
        </w:tc>
        <w:tc>
          <w:tcPr>
            <w:tcW w:type="dxa" w:w="6000"/>
            <w:tcBorders>
              <w:top w:val="none" w:color="FFFFFF" w:sz="0"/>
              <w:left w:val="none" w:color="FFFFFF" w:sz="0"/>
              <w:bottom w:val="none" w:color="FFFFFF" w:sz="0"/>
              <w:right w:val="none" w:color="FFFFFF" w:sz="0"/>
            </w:tcBorders>
            <w:shd w:fill="FAFBFC" w:val="clear"/>
            <w:tcMar>
              <w:top w:type="dxa" w:w="80"/>
              <w:left w:type="dxa" w:w="80"/>
              <w:bottom w:type="dxa" w:w="80"/>
              <w:right w:type="dxa" w:w="80"/>
            </w:tcMar>
            <w:vAlign w:val="center"/>
          </w:tcPr>
          <w:tbl>
            <w:tblPr>
              <w:tblW w:type="dxa" w:w="6000"/>
              <w:tblBorders>
                <w:top w:val="none" w:color="FFFFFF" w:sz="0"/>
                <w:left w:val="none" w:color="FFFFFF" w:sz="0"/>
                <w:bottom w:val="none" w:color="FFFFFF" w:sz="0"/>
                <w:right w:val="none" w:color="FFFFFF" w:sz="0"/>
                <w:insideH w:val="none" w:color="FFFFFF" w:sz="0"/>
                <w:insideV w:val="none" w:color="FFFFFF" w:sz="0"/>
              </w:tblBorders>
            </w:tblPr>
            <w:tblGrid>
              <w:gridCol w:w="40"/>
              <w:gridCol w:w="5960"/>
            </w:tblGrid>
            <w:tr>
              <w:trPr>
                <w:trHeight w:val="320" w:hRule="exact"/>
              </w:trPr>
              <w:tc>
                <w:tcPr>
                  <w:tcW w:type="dxa" w:w="40"/>
                  <w:tcBorders>
                    <w:top w:val="none" w:color="FFFFFF" w:sz="0"/>
                    <w:left w:val="none" w:color="FFFFFF" w:sz="0"/>
                    <w:bottom w:val="none" w:color="FFFFFF" w:sz="0"/>
                    <w:right w:val="none" w:color="FFFFFF" w:sz="0"/>
                  </w:tcBorders>
                  <w:shd w:fill="C4CDD5" w:val="clear"/>
                  <w:tcMar>
                    <w:top w:type="dxa" w:w="0"/>
                    <w:left w:type="dxa" w:w="0"/>
                    <w:bottom w:type="dxa" w:w="0"/>
                    <w:right w:type="dxa" w:w="0"/>
                  </w:tcMar>
                </w:tcPr>
                <w:p>
                  <w:pPr>
                    <w:spacing w:after="0" w:before="0"/>
                  </w:pPr>
                  <w:r>
                    <w:t xml:space="preserve"/>
                  </w:r>
                </w:p>
              </w:tc>
              <w:tc>
                <w:tcPr>
                  <w:tcW w:type="dxa" w:w="596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t xml:space="preserve"/>
                  </w:r>
                </w:p>
              </w:tc>
            </w:tr>
          </w:tbl>
          <w:p>
            <w:pPr>
              <w:spacing w:after="0" w:before="0"/>
            </w:pPr>
            <w:r>
              <w:t xml:space="preserve"/>
            </w:r>
          </w:p>
        </w:tc>
        <w:tc>
          <w:tcPr>
            <w:tcW w:type="dxa" w:w="1460"/>
            <w:tcBorders>
              <w:top w:val="none" w:color="FFFFFF" w:sz="0"/>
              <w:left w:val="none" w:color="FFFFFF" w:sz="0"/>
              <w:bottom w:val="none" w:color="FFFFFF" w:sz="0"/>
              <w:right w:val="none" w:color="FFFFFF" w:sz="0"/>
            </w:tcBorders>
            <w:shd w:fill="FAFBFC" w:val="clear"/>
            <w:tcMar>
              <w:top w:type="dxa" w:w="60"/>
              <w:left w:type="dxa" w:w="120"/>
              <w:bottom w:type="dxa" w:w="60"/>
              <w:right w:type="dxa" w:w="160"/>
            </w:tcMar>
            <w:vAlign w:val="center"/>
          </w:tcPr>
          <w:p>
            <w:r>
              <w:rPr>
                <w:b w:val="false"/>
                <w:bCs w:val="false"/>
                <w:color w:val="52606D"/>
                <w:sz w:val="18"/>
                <w:szCs w:val="18"/>
                <w:rFonts w:ascii="Arial" w:eastAsia="Arial" w:hAnsi="Arial" w:cs="Arial"/>
              </w:rPr>
              <w:t xml:space="preserve">0.0000</w:t>
            </w:r>
          </w:p>
        </w:tc>
      </w:tr>
    </w:tbl>
    <w:p>
      <w:pPr>
        <w:spacing w:after="320" w:before="240"/>
      </w:pPr>
      <w:r>
        <w:rPr>
          <w:b/>
          <w:bCs/>
          <w:color w:val="2E5AAC"/>
          <w:spacing w:val="40"/>
          <w:sz w:val="16"/>
          <w:szCs w:val="16"/>
          <w:rFonts w:ascii="Arial" w:eastAsia="Arial" w:hAnsi="Arial" w:cs="Arial"/>
        </w:rPr>
        <w:t xml:space="preserve">FIGURE L7</w:t>
      </w:r>
      <w:r>
        <w:t xml:space="preserve">   </w:t>
      </w:r>
      <w:r>
        <w:rPr>
          <w:i/>
          <w:iCs/>
          <w:color w:val="52606D"/>
          <w:sz w:val="18"/>
          <w:szCs w:val="18"/>
          <w:rFonts w:ascii="Arial" w:eastAsia="Arial" w:hAnsi="Arial" w:cs="Arial"/>
        </w:rPr>
        <w:t xml:space="preserve">On niche long-tail items, SBERT beats LightGCN 11×. Collaborative filtering cannot rank items that few users have interacted with; semantic text similarity can.</w:t>
      </w:r>
    </w:p>
    <w:p>
      <w:pPr>
        <w:pBdr>
          <w:left w:val="single" w:color="E6A817" w:sz="24" w:space="12"/>
        </w:pBdr>
        <w:shd w:fill="FFF8E1" w:val="clear"/>
        <w:spacing w:after="60" w:before="0"/>
        <w:ind w:left="240"/>
      </w:pPr>
      <w:r>
        <w:rPr>
          <w:b/>
          <w:bCs/>
          <w:color w:val="8A6200"/>
          <w:spacing w:val="40"/>
          <w:sz w:val="18"/>
          <w:szCs w:val="18"/>
          <w:rFonts w:ascii="Arial" w:eastAsia="Arial" w:hAnsi="Arial" w:cs="Arial"/>
        </w:rPr>
        <w:t xml:space="preserve">KEY FINDING</w:t>
      </w:r>
    </w:p>
    <w:p>
      <w:pPr>
        <w:pBdr>
          <w:left w:val="single" w:color="E6A817" w:sz="24" w:space="12"/>
        </w:pBdr>
        <w:shd w:fill="FFF8E1" w:val="clear"/>
        <w:spacing w:after="0" w:before="0" w:line="320"/>
        <w:ind w:left="240"/>
      </w:pPr>
      <w:r>
        <w:rPr>
          <w:b/>
          <w:bCs/>
          <w:color w:val="1F2933"/>
          <w:sz w:val="22"/>
          <w:szCs w:val="22"/>
          <w:rFonts w:ascii="Arial" w:eastAsia="Arial" w:hAnsi="Arial" w:cs="Arial"/>
        </w:rPr>
        <w:t xml:space="preserve">Confirmed — </w:t>
      </w:r>
      <w:r>
        <w:rPr>
          <w:color w:val="1F2933"/>
          <w:sz w:val="22"/>
          <w:szCs w:val="22"/>
          <w:rFonts w:ascii="Arial" w:eastAsia="Arial" w:hAnsi="Arial" w:cs="Arial"/>
        </w:rPr>
        <w:t xml:space="preserve">SBERT-CDR matches LightGCN overall (98.5%) and wins 11× on niche subgroups. Content signal covers the long-tail blind spot that every collaborative model shares. L6 and L7 together form the complete cold-start + niche routing rule.</w:t>
      </w:r>
    </w:p>
    <w:p>
      <w:pPr>
        <w:spacing w:after="320" w:before="0"/>
      </w:pPr>
      <w:r>
        <w:t xml:space="preserve"/>
      </w:r>
    </w:p>
    <w:p>
      <w:r>
        <w:br w:type="page"/>
      </w:r>
    </w:p>
    <w:p>
      <w:pPr>
        <w:pStyle w:val="Heading1"/>
        <w:spacing w:after="120" w:before="0"/>
      </w:pPr>
      <w:r>
        <w:rPr>
          <w:b/>
          <w:bCs/>
          <w:color w:val="2E5AAC"/>
          <w:sz w:val="32"/>
          <w:szCs w:val="32"/>
          <w:rFonts w:ascii="Arial" w:eastAsia="Arial" w:hAnsi="Arial" w:cs="Arial"/>
        </w:rPr>
        <w:t xml:space="preserve">Lesson 7  </w:t>
      </w:r>
      <w:r>
        <w:rPr>
          <w:b/>
          <w:bCs/>
          <w:color w:val="1F2933"/>
          <w:sz w:val="32"/>
          <w:szCs w:val="32"/>
          <w:rFonts w:ascii="Arial" w:eastAsia="Arial" w:hAnsi="Arial" w:cs="Arial"/>
        </w:rPr>
        <w:t xml:space="preserve">Summary</w:t>
      </w:r>
    </w:p>
    <w:p>
      <w:pPr>
        <w:pBdr>
          <w:bottom w:val="single" w:color="2E5AAC" w:sz="12" w:space="1"/>
        </w:pBdr>
        <w:spacing w:after="240" w:before="0"/>
      </w:pPr>
      <w:r>
        <w:t xml:space="preserve"/>
      </w:r>
    </w:p>
    <w:p>
      <w:pPr>
        <w:spacing w:after="120" w:line="320"/>
      </w:pPr>
      <w:r>
        <w:rPr>
          <w:color w:val="1F2933"/>
          <w:rFonts w:ascii="Arial" w:eastAsia="Arial" w:hAnsi="Arial" w:cs="Arial"/>
        </w:rPr>
        <w:t xml:space="preserve">Lesson 7 introduces two training-free content models: SBERT (single-domain, game titles only) and SBERT-CDR (blends game-side SBERT with movie-side SBERT). Both use a pretrained sentence encoder (all-MiniLM-L6-v2, 384-dim).</w:t>
      </w:r>
    </w:p>
    <w:p>
      <w:pPr>
        <w:spacing w:after="120" w:line="320"/>
      </w:pPr>
      <w:r>
        <w:rPr>
          <w:color w:val="1F2933"/>
          <w:rFonts w:ascii="Arial" w:eastAsia="Arial" w:hAnsi="Arial" w:cs="Arial"/>
        </w:rPr>
        <w:t xml:space="preserve">Overall, SBERT-CDR reaches Recall@10 = 0.0330 vs LightGCN = 0.0335 (−1.5%) with </w:t>
      </w:r>
      <w:r>
        <w:rPr>
          <w:b/>
          <w:bCs/>
          <w:color w:val="1F2933"/>
          <w:rFonts w:ascii="Arial" w:eastAsia="Arial" w:hAnsi="Arial" w:cs="Arial"/>
        </w:rPr>
        <w:t xml:space="preserve">zero training on interactions</w:t>
      </w:r>
      <w:r>
        <w:rPr>
          <w:color w:val="1F2933"/>
          <w:rFonts w:ascii="Arial" w:eastAsia="Arial" w:hAnsi="Arial" w:cs="Arial"/>
        </w:rPr>
        <w:t xml:space="preserve">. On the niche </w:t>
      </w:r>
      <w:r>
        <w:rPr>
          <w:b/>
          <w:bCs/>
          <w:color w:val="1F2933"/>
          <w:rFonts w:ascii="Arial" w:eastAsia="Arial" w:hAnsi="Arial" w:cs="Arial"/>
        </w:rPr>
        <w:t xml:space="preserve">one_shot_unpopular_target</w:t>
      </w:r>
      <w:r>
        <w:rPr>
          <w:color w:val="1F2933"/>
          <w:rFonts w:ascii="Arial" w:eastAsia="Arial" w:hAnsi="Arial" w:cs="Arial"/>
        </w:rPr>
        <w:t xml:space="preserve"> subgroup, SBERT dominates with 0.1341 vs LightGCN's 0.0122 — an </w:t>
      </w:r>
      <w:r>
        <w:rPr>
          <w:b/>
          <w:bCs/>
          <w:color w:val="1F2933"/>
          <w:rFonts w:ascii="Arial" w:eastAsia="Arial" w:hAnsi="Arial" w:cs="Arial"/>
        </w:rPr>
        <w:t xml:space="preserve">11× win</w:t>
      </w:r>
      <w:r>
        <w:rPr>
          <w:color w:val="1F2933"/>
          <w:rFonts w:ascii="Arial" w:eastAsia="Arial" w:hAnsi="Arial" w:cs="Arial"/>
        </w:rPr>
        <w:t xml:space="preserve">.</w:t>
      </w:r>
    </w:p>
    <w:p>
      <w:pPr>
        <w:spacing w:after="320" w:line="320"/>
      </w:pPr>
      <w:r>
        <w:rPr>
          <w:color w:val="1F2933"/>
          <w:rFonts w:ascii="Arial" w:eastAsia="Arial" w:hAnsi="Arial" w:cs="Arial"/>
        </w:rPr>
        <w:t xml:space="preserve">The takeaway: add content signal to the portfolio. Collaborative models are blind to long-tail items; SBERT / SBERT-CDR fills that gap and makes the system robust across the full popularity spectrum.</w:t>
      </w:r>
    </w:p>
    <w:p>
      <w:pPr>
        <w:pStyle w:val="Heading2"/>
        <w:spacing w:after="160" w:before="120"/>
      </w:pPr>
      <w:r>
        <w:rPr>
          <w:b/>
          <w:bCs/>
          <w:color w:val="2E5AAC"/>
          <w:sz w:val="26"/>
          <w:szCs w:val="26"/>
          <w:rFonts w:ascii="Arial" w:eastAsia="Arial" w:hAnsi="Arial" w:cs="Arial"/>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Finding</w:t>
            </w:r>
          </w:p>
        </w:tc>
        <w:tc>
          <w:tcPr>
            <w:tcW w:type="dxa" w:w="5760"/>
            <w:tcBorders>
              <w:top w:val="single" w:color="D9E2EC" w:sz="4"/>
              <w:left w:val="single" w:color="D9E2EC" w:sz="4"/>
              <w:bottom w:val="single" w:color="D9E2EC" w:sz="4"/>
              <w:right w:val="single" w:color="D9E2EC" w:sz="4"/>
            </w:tcBorders>
            <w:shd w:fill="EEF2F7" w:val="clear"/>
            <w:tcMar>
              <w:top w:type="dxa" w:w="120"/>
              <w:left w:type="dxa" w:w="160"/>
              <w:bottom w:type="dxa" w:w="120"/>
              <w:right w:type="dxa" w:w="160"/>
            </w:tcMar>
          </w:tcPr>
          <w:p>
            <w:r>
              <w:rPr>
                <w:b/>
                <w:bCs/>
                <w:color w:val="1F2933"/>
                <w:sz w:val="20"/>
                <w:szCs w:val="20"/>
                <w:rFonts w:ascii="Arial" w:eastAsia="Arial" w:hAnsi="Arial" w:cs="Arial"/>
              </w:rPr>
              <w:t xml:space="preserve">Evidence</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SBERT wins 11× on niche users</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color w:val="1F2933"/>
                <w:sz w:val="20"/>
                <w:szCs w:val="20"/>
                <w:rFonts w:ascii="Arial" w:eastAsia="Arial" w:hAnsi="Arial" w:cs="Arial"/>
              </w:rPr>
              <w:t xml:space="preserve">one_shot_unpopular_target Recall@10 </w:t>
            </w:r>
            <w:r>
              <w:rPr>
                <w:b/>
                <w:bCs/>
                <w:color w:val="20B2AA"/>
                <w:sz w:val="20"/>
                <w:szCs w:val="20"/>
                <w:rFonts w:ascii="Arial" w:eastAsia="Arial" w:hAnsi="Arial" w:cs="Arial"/>
              </w:rPr>
              <w:t xml:space="preserve">0.1341 vs 0.0122</w:t>
            </w:r>
            <w:r>
              <w:rPr>
                <w:color w:val="1F2933"/>
                <w:sz w:val="20"/>
                <w:szCs w:val="20"/>
                <w:rFonts w:ascii="Arial" w:eastAsia="Arial" w:hAnsi="Arial" w:cs="Arial"/>
              </w:rPr>
              <w:t xml:space="preserve"> — collaborative filtering is blind to long-tail items</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SBERT-CDR ≈ LightGCN overall</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0.0330 vs 0.0335 (−1.5%). Zero training; pure semantic similarity.</w:t>
            </w:r>
          </w:p>
        </w:tc>
      </w:tr>
      <w:tr>
        <w:tc>
          <w:tcPr>
            <w:tcW w:type="dxa" w:w="360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bCs/>
                <w:color w:val="1F2933"/>
                <w:sz w:val="20"/>
                <w:szCs w:val="20"/>
                <w:rFonts w:ascii="Arial" w:eastAsia="Arial" w:hAnsi="Arial" w:cs="Arial"/>
              </w:rPr>
              <w:t xml:space="preserve">L6 + L7 complete the routing rule</w:t>
            </w:r>
          </w:p>
        </w:tc>
        <w:tc>
          <w:tcPr>
            <w:tcW w:type="dxa" w:w="5760"/>
            <w:tcBorders>
              <w:top w:val="single" w:color="D9E2EC" w:sz="4"/>
              <w:left w:val="single" w:color="D9E2EC" w:sz="4"/>
              <w:bottom w:val="single" w:color="D9E2EC" w:sz="4"/>
              <w:right w:val="single" w:color="D9E2EC" w:sz="4"/>
            </w:tcBorders>
            <w:shd w:fill="FAFBFC" w:val="clear"/>
            <w:tcMar>
              <w:top w:type="dxa" w:w="120"/>
              <w:left w:type="dxa" w:w="160"/>
              <w:bottom w:type="dxa" w:w="120"/>
              <w:right w:type="dxa" w:w="160"/>
            </w:tcMar>
          </w:tcPr>
          <w:p>
            <w:r>
              <w:rPr>
                <w:b w:val="false"/>
                <w:bCs w:val="false"/>
                <w:color w:val="1F2933"/>
                <w:sz w:val="20"/>
                <w:szCs w:val="20"/>
                <w:rFonts w:ascii="Arial" w:eastAsia="Arial" w:hAnsi="Arial" w:cs="Arial"/>
              </w:rPr>
              <w:t xml:space="preserve">L6 = zero games → PTUPCDR / Popularity. L7 = niche taste → SBERT / SBERT-CDR. Together they cover every cold-start and long-tail regime.</w:t>
            </w:r>
          </w:p>
        </w:tc>
      </w:tr>
      <w:tr>
        <w:tc>
          <w:tcPr>
            <w:tcW w:type="dxa" w:w="360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bCs/>
                <w:color w:val="1F2933"/>
                <w:sz w:val="20"/>
                <w:szCs w:val="20"/>
                <w:rFonts w:ascii="Arial" w:eastAsia="Arial" w:hAnsi="Arial" w:cs="Arial"/>
              </w:rPr>
              <w:t xml:space="preserve">LightGCN collapses on niche</w:t>
            </w:r>
          </w:p>
        </w:tc>
        <w:tc>
          <w:tcPr>
            <w:tcW w:type="dxa" w:w="5760"/>
            <w:tcBorders>
              <w:top w:val="single" w:color="D9E2EC" w:sz="4"/>
              <w:left w:val="single" w:color="D9E2EC" w:sz="4"/>
              <w:bottom w:val="single" w:color="D9E2EC" w:sz="4"/>
              <w:right w:val="single" w:color="D9E2EC" w:sz="4"/>
            </w:tcBorders>
            <w:tcMar>
              <w:top w:type="dxa" w:w="120"/>
              <w:left w:type="dxa" w:w="160"/>
              <w:bottom w:type="dxa" w:w="120"/>
              <w:right w:type="dxa" w:w="160"/>
            </w:tcMar>
          </w:tcPr>
          <w:p>
            <w:r>
              <w:rPr>
                <w:b w:val="false"/>
                <w:bCs w:val="false"/>
                <w:color w:val="1F2933"/>
                <w:sz w:val="20"/>
                <w:szCs w:val="20"/>
                <w:rFonts w:ascii="Arial" w:eastAsia="Arial" w:hAnsi="Arial" w:cs="Arial"/>
              </w:rPr>
              <w:t xml:space="preserve">0.0122 on one_shot_unpopular. Popularity-biased models cannot retrieve items few users have interacted with.</w:t>
            </w:r>
          </w:p>
        </w:tc>
      </w:tr>
    </w:tbl>
    <w:p>
      <w:pPr>
        <w:spacing w:after="320" w:before="0"/>
      </w:pPr>
      <w:r>
        <w:t xml:space="preserve"/>
      </w:r>
    </w:p>
    <w:p>
      <w:pPr>
        <w:pBdr>
          <w:left w:val="single" w:color="2E5AAC" w:sz="24" w:space="12"/>
        </w:pBdr>
        <w:shd w:fill="F3F7FC" w:val="clear"/>
        <w:spacing w:after="60" w:before="0"/>
        <w:ind w:left="240"/>
      </w:pPr>
      <w:r>
        <w:rPr>
          <w:b/>
          <w:bCs/>
          <w:color w:val="2E5AAC"/>
          <w:spacing w:val="40"/>
          <w:sz w:val="18"/>
          <w:szCs w:val="18"/>
          <w:rFonts w:ascii="Arial" w:eastAsia="Arial" w:hAnsi="Arial" w:cs="Arial"/>
        </w:rPr>
        <w:t xml:space="preserve">NEXT UP</w:t>
      </w:r>
    </w:p>
    <w:p>
      <w:pPr>
        <w:pBdr>
          <w:left w:val="single" w:color="2E5AAC" w:sz="24" w:space="12"/>
        </w:pBdr>
        <w:shd w:fill="F3F7FC" w:val="clear"/>
        <w:spacing w:after="0" w:before="0" w:line="320"/>
        <w:ind w:left="240"/>
      </w:pPr>
      <w:r>
        <w:rPr>
          <w:b/>
          <w:bCs/>
          <w:color w:val="1F2933"/>
          <w:sz w:val="22"/>
          <w:szCs w:val="22"/>
          <w:rFonts w:ascii="Arial" w:eastAsia="Arial" w:hAnsi="Arial" w:cs="Arial"/>
        </w:rPr>
        <w:t xml:space="preserve">Lesson 8 </w:t>
      </w:r>
      <w:r>
        <w:rPr>
          <w:color w:val="1F2933"/>
          <w:sz w:val="22"/>
          <w:szCs w:val="22"/>
          <w:rFonts w:ascii="Arial" w:eastAsia="Arial" w:hAnsi="Arial" w:cs="Arial"/>
        </w:rPr>
        <w:t xml:space="preserve">adds co-occurrence reranking: a training-free post-processing step that boosts games frequently co-rented with a user's movies, sharpening any base model's output.</w:t>
      </w:r>
    </w:p>
    <w:p>
      <w:pPr>
        <w:spacing w:after="320" w:before="0"/>
      </w:pPr>
      <w:r>
        <w:t xml:space="preserve"/>
      </w:r>
    </w:p>
    <w:p w14:paraId="3799307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5.8 Lesson 8: Co-occurrence Reranking</w:t>
      </w:r>
    </w:p>
    <w:p w14:paraId="0AE4F497" w14:textId="77777777" w:rsidR="00C60C22" w:rsidRDefault="00000000">
      <w:pPr>
        <w:spacing w:after="120" w:line="324" w:lineRule="auto"/>
      </w:pPr>
      <w:r>
        <w:rPr>
          <w:rFonts w:ascii="Arial" w:hAnsi="Arial" w:cs="Arial"/>
          <w:sz w:val="20"/>
          <w:szCs w:val="20"/>
        </w:rPr>
        <w:t>In this lesson, we will see whether a simple, training-free rerank — built only from how often a movie and a game are liked by the same users — can lift every model at once, without retraining or extra data.</w:t>
      </w:r>
    </w:p>
    <w:p w14:paraId="33F3D471" w14:textId="77777777" w:rsidR="00DE485D" w:rsidRDefault="00000000">
      <w:pPr>
        <w:spacing w:before="120" w:after="120" w:line="324" w:lineRule="auto"/>
      </w:pPr>
      <w:r>
        <w:rPr>
          <w:rFonts w:ascii="Arial" w:hAnsi="Arial" w:cs="Arial"/>
          <w:sz w:val="20"/>
          <w:szCs w:val="20"/>
        </w:rPr>
        <w:t>We layer a training-free co-occurrence rerank on top of every model's existing scores, using only how often a movie and a game are co-liked by the same users. Can this zero-cost post-processing lift all models at once without any retraining?</w:t>
      </w:r>
    </w:p>
    <w:p w14:paraId="0C87F08B"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Matrix Construction</w:t>
      </w:r>
    </w:p>
    <w:p w14:paraId="5623B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14:paraId="32BD43F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3D5534CA" wp14:editId="08D6ED7F">
            <wp:extent cx="5303520" cy="9174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cooc.png"/>
                    <pic:cNvPicPr/>
                  </pic:nvPicPr>
                  <pic:blipFill>
                    <a:blip r:embed="rId66"/>
                    <a:stretch>
                      <a:fillRect/>
                    </a:stretch>
                  </pic:blipFill>
                  <pic:spPr>
                    <a:xfrm>
                      <a:off x="0" y="0"/>
                      <a:ext cx="5303520" cy="917418"/>
                    </a:xfrm>
                    <a:prstGeom prst="rect">
                      <a:avLst/>
                    </a:prstGeom>
                  </pic:spPr>
                </pic:pic>
              </a:graphicData>
            </a:graphic>
          </wp:inline>
        </w:drawing>
      </w:r>
    </w:p>
    <w:p w14:paraId="21E5E82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8: Co-occurrence matrix and reranking score.</w:t>
      </w:r>
    </w:p>
    <w:p w14:paraId="0C08C0B8"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 xml:space="preserve">where U_m and U_g are the sets of users who interacted with movie m and game g; c_{m,g} is their cross-domain co-occurrence, normalised by the geometric mean of the two audience sizes to prevent popular items from dominating. The reranked score s^{rerank}_{u,g} adds a weighted sum of c_{m,g} over </w:t>
        <w:lastRenderedPageBreak/>
        <w:t>the user's movie history to whatever base-model score s^{base}_{u,g} we started with; λ controls the rerank strength (we use λ = 0.05).</w:t>
      </w:r>
    </w:p>
    <w:p w14:paraId="46D6196D" w14:textId="77777777" w:rsidR="00C60C22" w:rsidRDefault="00000000">
      <w:pPr>
        <w:spacing w:after="120" w:line="324" w:lineRule="auto"/>
        <w:jc w:val="center"/>
        <w:rPr>
          <w:rFonts w:ascii="Arial" w:eastAsia="Arial" w:hAnsi="Arial" w:cs="Arial"/>
          <w:color w:val="191919"/>
          <w:sz w:val="20"/>
          <w:szCs w:val="20"/>
        </w:rPr>
      </w:pPr>
      <w:r>
        <w:rPr>
          <w:noProof/>
        </w:rPr>
        <w:drawing>
          <wp:inline distT="0" distB="0" distL="0" distR="0" wp14:anchorId="3861D8E2" wp14:editId="1CCA3557">
            <wp:extent cx="5486400" cy="34730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c_matrix.png"/>
                    <pic:cNvPicPr/>
                  </pic:nvPicPr>
                  <pic:blipFill>
                    <a:blip r:embed="rId67"/>
                    <a:stretch>
                      <a:fillRect/>
                    </a:stretch>
                  </pic:blipFill>
                  <pic:spPr>
                    <a:xfrm>
                      <a:off x="0" y="0"/>
                      <a:ext cx="5486400" cy="3473042"/>
                    </a:xfrm>
                    <a:prstGeom prst="rect">
                      <a:avLst/>
                    </a:prstGeom>
                  </pic:spPr>
                </pic:pic>
              </a:graphicData>
            </a:graphic>
          </wp:inline>
        </w:drawing>
      </w:r>
    </w:p>
    <w:p w14:paraId="1E9A487C" w14:textId="77777777" w:rsidR="00C60C22" w:rsidRDefault="00000000">
      <w:pPr>
        <w:spacing w:after="120" w:line="324" w:lineRule="auto"/>
        <w:jc w:val="center"/>
        <w:rPr>
          <w:rFonts w:ascii="Arial" w:eastAsia="Arial" w:hAnsi="Arial" w:cs="Arial"/>
          <w:color w:val="191919"/>
          <w:sz w:val="20"/>
          <w:szCs w:val="20"/>
        </w:rPr>
      </w:pPr>
      <w:r>
        <w:t>Figure 18: Co-occurrence matrix construction — counting and normalizing cross-domain user overlap</w:t>
      </w:r>
    </w:p>
    <w:p w14:paraId="1FDB8761"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Inference</w:t>
      </w:r>
    </w:p>
    <w:p w14:paraId="43E54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4F10FCB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46CF8EA" wp14:editId="3395E63A">
            <wp:extent cx="5486400" cy="288849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8"/>
                    <a:srcRect/>
                    <a:stretch>
                      <a:fillRect/>
                    </a:stretch>
                  </pic:blipFill>
                  <pic:spPr>
                    <a:xfrm>
                      <a:off x="0" y="0"/>
                      <a:ext cx="5486400" cy="2888496"/>
                    </a:xfrm>
                    <a:prstGeom prst="rect">
                      <a:avLst/>
                    </a:prstGeom>
                    <a:ln/>
                  </pic:spPr>
                </pic:pic>
              </a:graphicData>
            </a:graphic>
          </wp:inline>
        </w:drawing>
      </w:r>
    </w:p>
    <w:p w14:paraId="59BCAC0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3621ADA4" w14:textId="77777777" w:rsidR="00C60C22" w:rsidRDefault="00C60C22">
      <w:pPr>
        <w:spacing w:after="120" w:line="324" w:lineRule="auto"/>
        <w:rPr>
          <w:rFonts w:ascii="Arial" w:eastAsia="Arial" w:hAnsi="Arial" w:cs="Arial"/>
          <w:color w:val="191919"/>
          <w:sz w:val="20"/>
          <w:szCs w:val="20"/>
        </w:rPr>
      </w:pPr>
    </w:p>
    <w:p w14:paraId="450F3F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p w14:paraId="7504D470"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7577188F" w14:textId="77777777">
        <w:tc>
          <w:tcPr>
            <w:tcW w:w="3135" w:type="dxa"/>
            <w:shd w:val="clear" w:color="auto" w:fill="4F81BD"/>
          </w:tcPr>
          <w:p w14:paraId="5556C7F2" w14:textId="77777777" w:rsidR="00C60C22" w:rsidRDefault="00000000">
            <w:pPr>
              <w:spacing w:after="120" w:line="324" w:lineRule="auto"/>
            </w:pPr>
            <w:r>
              <w:rPr>
                <w:b/>
                <w:color w:val="000000"/>
                <w:sz w:val="18"/>
              </w:rPr>
              <w:t>Aspect</w:t>
            </w:r>
          </w:p>
        </w:tc>
        <w:tc>
          <w:tcPr>
            <w:tcW w:w="3135" w:type="dxa"/>
            <w:shd w:val="clear" w:color="auto" w:fill="4F81BD"/>
          </w:tcPr>
          <w:p w14:paraId="7D41611B" w14:textId="77777777" w:rsidR="00C60C22" w:rsidRDefault="00000000">
            <w:pPr>
              <w:spacing w:after="120" w:line="324" w:lineRule="auto"/>
            </w:pPr>
            <w:r>
              <w:rPr>
                <w:b/>
                <w:color w:val="000000"/>
                <w:sz w:val="18"/>
              </w:rPr>
              <w:t>L7</w:t>
            </w:r>
          </w:p>
        </w:tc>
        <w:tc>
          <w:tcPr>
            <w:tcW w:w="3135" w:type="dxa"/>
            <w:shd w:val="clear" w:color="auto" w:fill="4F81BD"/>
          </w:tcPr>
          <w:p w14:paraId="503752FA" w14:textId="77777777" w:rsidR="00C60C22" w:rsidRDefault="00000000">
            <w:pPr>
              <w:spacing w:after="120" w:line="324" w:lineRule="auto"/>
            </w:pPr>
            <w:r>
              <w:rPr>
                <w:b/>
                <w:color w:val="000000"/>
                <w:sz w:val="18"/>
              </w:rPr>
              <w:t>L8</w:t>
            </w:r>
          </w:p>
        </w:tc>
      </w:tr>
      <w:tr w:rsidR="00C60C22" w14:paraId="3A566336" w14:textId="77777777">
        <w:tc>
          <w:tcPr>
            <w:tcW w:w="3135" w:type="dxa"/>
          </w:tcPr>
          <w:p w14:paraId="74F61AAF" w14:textId="77777777" w:rsidR="00C60C22" w:rsidRDefault="00000000">
            <w:pPr>
              <w:spacing w:after="120" w:line="324" w:lineRule="auto"/>
            </w:pPr>
            <w:r>
              <w:rPr>
                <w:b/>
                <w:sz w:val="18"/>
              </w:rPr>
              <w:t>New model</w:t>
            </w:r>
          </w:p>
        </w:tc>
        <w:tc>
          <w:tcPr>
            <w:tcW w:w="3135" w:type="dxa"/>
          </w:tcPr>
          <w:p w14:paraId="206AABA1" w14:textId="77777777" w:rsidR="00C60C22" w:rsidRDefault="00000000">
            <w:pPr>
              <w:spacing w:after="120" w:line="324" w:lineRule="auto"/>
            </w:pPr>
            <w:r>
              <w:rPr>
                <w:sz w:val="18"/>
              </w:rPr>
              <w:t>SBERT, SBERT-CDR</w:t>
            </w:r>
          </w:p>
        </w:tc>
        <w:tc>
          <w:tcPr>
            <w:tcW w:w="3135" w:type="dxa"/>
          </w:tcPr>
          <w:p w14:paraId="3747034D" w14:textId="77777777" w:rsidR="00C60C22" w:rsidRDefault="00000000">
            <w:pPr>
              <w:spacing w:after="120" w:line="324" w:lineRule="auto"/>
            </w:pPr>
            <w:r>
              <w:rPr>
                <w:sz w:val="18"/>
              </w:rPr>
              <w:t>None — post-processing layer only</w:t>
            </w:r>
          </w:p>
        </w:tc>
      </w:tr>
      <w:tr w:rsidR="00C60C22" w14:paraId="266F415A" w14:textId="77777777">
        <w:tc>
          <w:tcPr>
            <w:tcW w:w="3135" w:type="dxa"/>
            <w:shd w:val="clear" w:color="auto" w:fill="F2F2F2"/>
          </w:tcPr>
          <w:p w14:paraId="1F28D7F9" w14:textId="77777777" w:rsidR="00C60C22" w:rsidRDefault="00000000">
            <w:pPr>
              <w:spacing w:after="120" w:line="324" w:lineRule="auto"/>
            </w:pPr>
            <w:r>
              <w:rPr>
                <w:b/>
                <w:sz w:val="18"/>
              </w:rPr>
              <w:t>Mechanism</w:t>
            </w:r>
          </w:p>
        </w:tc>
        <w:tc>
          <w:tcPr>
            <w:tcW w:w="3135" w:type="dxa"/>
            <w:shd w:val="clear" w:color="auto" w:fill="F2F2F2"/>
          </w:tcPr>
          <w:p w14:paraId="7CF23EA0" w14:textId="77777777" w:rsidR="00C60C22" w:rsidRDefault="00000000">
            <w:pPr>
              <w:spacing w:after="120" w:line="324" w:lineRule="auto"/>
            </w:pPr>
            <w:r>
              <w:rPr>
                <w:sz w:val="18"/>
              </w:rPr>
              <w:t>End-to-end trained score</w:t>
            </w:r>
          </w:p>
        </w:tc>
        <w:tc>
          <w:tcPr>
            <w:tcW w:w="3135" w:type="dxa"/>
            <w:shd w:val="clear" w:color="auto" w:fill="F2F2F2"/>
          </w:tcPr>
          <w:p w14:paraId="745971CA" w14:textId="77777777" w:rsidR="00C60C22" w:rsidRDefault="00000000">
            <w:pPr>
              <w:spacing w:after="120" w:line="324" w:lineRule="auto"/>
            </w:pPr>
            <w:r>
              <w:rPr>
                <w:sz w:val="18"/>
              </w:rPr>
              <w:t>final = base + λ · Σ cooc[m,g]</w:t>
            </w:r>
          </w:p>
        </w:tc>
      </w:tr>
      <w:tr w:rsidR="00C60C22" w14:paraId="07FBE67F" w14:textId="77777777">
        <w:tc>
          <w:tcPr>
            <w:tcW w:w="3135" w:type="dxa"/>
          </w:tcPr>
          <w:p w14:paraId="152AF3FD" w14:textId="77777777" w:rsidR="00C60C22" w:rsidRDefault="00000000">
            <w:pPr>
              <w:spacing w:after="120" w:line="324" w:lineRule="auto"/>
            </w:pPr>
            <w:r>
              <w:rPr>
                <w:b/>
                <w:sz w:val="18"/>
              </w:rPr>
              <w:t>Cost</w:t>
            </w:r>
          </w:p>
        </w:tc>
        <w:tc>
          <w:tcPr>
            <w:tcW w:w="3135" w:type="dxa"/>
          </w:tcPr>
          <w:p w14:paraId="2BDEDFAB" w14:textId="77777777" w:rsidR="00C60C22" w:rsidRDefault="00000000">
            <w:pPr>
              <w:spacing w:after="120" w:line="324" w:lineRule="auto"/>
            </w:pPr>
            <w:r>
              <w:rPr>
                <w:sz w:val="18"/>
              </w:rPr>
              <w:t>Full training run per model</w:t>
            </w:r>
          </w:p>
        </w:tc>
        <w:tc>
          <w:tcPr>
            <w:tcW w:w="3135" w:type="dxa"/>
          </w:tcPr>
          <w:p w14:paraId="203763C9" w14:textId="77777777" w:rsidR="00C60C22" w:rsidRDefault="00000000">
            <w:pPr>
              <w:spacing w:after="120" w:line="324" w:lineRule="auto"/>
            </w:pPr>
            <w:r>
              <w:rPr>
                <w:sz w:val="18"/>
              </w:rPr>
              <w:t>Zero — cooc matrix computed once</w:t>
            </w:r>
          </w:p>
        </w:tc>
      </w:tr>
    </w:tbl>
    <w:p w14:paraId="65C64CC2"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4F57E85F" w14:textId="77777777">
        <w:tc>
          <w:tcPr>
            <w:tcW w:w="3135" w:type="dxa"/>
            <w:shd w:val="clear" w:color="auto" w:fill="4F81BD"/>
          </w:tcPr>
          <w:p w14:paraId="037B9848" w14:textId="77777777" w:rsidR="00C60C22" w:rsidRDefault="00000000">
            <w:pPr>
              <w:spacing w:after="120" w:line="324" w:lineRule="auto"/>
            </w:pPr>
            <w:r>
              <w:rPr>
                <w:b/>
                <w:color w:val="000000"/>
                <w:sz w:val="18"/>
              </w:rPr>
              <w:t>Property</w:t>
            </w:r>
          </w:p>
        </w:tc>
        <w:tc>
          <w:tcPr>
            <w:tcW w:w="3135" w:type="dxa"/>
            <w:shd w:val="clear" w:color="auto" w:fill="4F81BD"/>
          </w:tcPr>
          <w:p w14:paraId="378DA18D" w14:textId="77777777" w:rsidR="00C60C22" w:rsidRDefault="00000000">
            <w:pPr>
              <w:spacing w:after="120" w:line="324" w:lineRule="auto"/>
            </w:pPr>
            <w:r>
              <w:rPr>
                <w:b/>
                <w:color w:val="000000"/>
                <w:sz w:val="18"/>
              </w:rPr>
              <w:t>L7</w:t>
            </w:r>
          </w:p>
        </w:tc>
        <w:tc>
          <w:tcPr>
            <w:tcW w:w="3135" w:type="dxa"/>
            <w:shd w:val="clear" w:color="auto" w:fill="4F81BD"/>
          </w:tcPr>
          <w:p w14:paraId="4F7B7C2F" w14:textId="77777777" w:rsidR="00C60C22" w:rsidRDefault="00000000">
            <w:pPr>
              <w:spacing w:after="120" w:line="324" w:lineRule="auto"/>
            </w:pPr>
            <w:r>
              <w:rPr>
                <w:b/>
                <w:color w:val="000000"/>
                <w:sz w:val="18"/>
              </w:rPr>
              <w:t>L8 (Δ)</w:t>
            </w:r>
          </w:p>
        </w:tc>
      </w:tr>
      <w:tr w:rsidR="00C60C22" w14:paraId="57B11B8A" w14:textId="77777777">
        <w:tc>
          <w:tcPr>
            <w:tcW w:w="3135" w:type="dxa"/>
          </w:tcPr>
          <w:p w14:paraId="7A7A616B" w14:textId="77777777" w:rsidR="00C60C22" w:rsidRDefault="00000000">
            <w:pPr>
              <w:spacing w:after="120" w:line="324" w:lineRule="auto"/>
            </w:pPr>
            <w:r>
              <w:rPr>
                <w:b/>
                <w:sz w:val="18"/>
              </w:rPr>
              <w:t>Evaluation cohorts</w:t>
            </w:r>
          </w:p>
        </w:tc>
        <w:tc>
          <w:tcPr>
            <w:tcW w:w="3135" w:type="dxa"/>
          </w:tcPr>
          <w:p w14:paraId="43F84F11" w14:textId="77777777" w:rsidR="00C60C22" w:rsidRDefault="00000000">
            <w:pPr>
              <w:spacing w:after="120" w:line="324" w:lineRule="auto"/>
            </w:pPr>
            <w:r>
              <w:rPr>
                <w:sz w:val="18"/>
              </w:rPr>
              <w:t>L4 LLO</w:t>
            </w:r>
          </w:p>
        </w:tc>
        <w:tc>
          <w:tcPr>
            <w:tcW w:w="3135" w:type="dxa"/>
          </w:tcPr>
          <w:p w14:paraId="27FE0922" w14:textId="77777777" w:rsidR="00C60C22" w:rsidRDefault="00000000">
            <w:pPr>
              <w:spacing w:after="120" w:line="324" w:lineRule="auto"/>
            </w:pPr>
            <w:r>
              <w:rPr>
                <w:sz w:val="18"/>
              </w:rPr>
              <w:t>L3 LLO + L6 cold-start</w:t>
            </w:r>
            <w:r>
              <w:rPr>
                <w:b/>
                <w:color w:val="10981F"/>
                <w:sz w:val="18"/>
              </w:rPr>
              <w:t xml:space="preserve">  +1</w:t>
            </w:r>
          </w:p>
        </w:tc>
      </w:tr>
      <w:tr w:rsidR="00C60C22" w14:paraId="0E00A58C" w14:textId="77777777">
        <w:tc>
          <w:tcPr>
            <w:tcW w:w="3135" w:type="dxa"/>
            <w:shd w:val="clear" w:color="auto" w:fill="F2F2F2"/>
          </w:tcPr>
          <w:p w14:paraId="407A7432" w14:textId="77777777" w:rsidR="00C60C22" w:rsidRDefault="00000000">
            <w:pPr>
              <w:spacing w:after="120" w:line="324" w:lineRule="auto"/>
            </w:pPr>
            <w:r>
              <w:rPr>
                <w:b/>
                <w:sz w:val="18"/>
              </w:rPr>
              <w:t>Training cost</w:t>
            </w:r>
          </w:p>
        </w:tc>
        <w:tc>
          <w:tcPr>
            <w:tcW w:w="3135" w:type="dxa"/>
            <w:shd w:val="clear" w:color="auto" w:fill="F2F2F2"/>
          </w:tcPr>
          <w:p w14:paraId="34C86DB1" w14:textId="77777777" w:rsidR="00C60C22" w:rsidRDefault="00000000">
            <w:pPr>
              <w:spacing w:after="120" w:line="324" w:lineRule="auto"/>
            </w:pPr>
            <w:r>
              <w:rPr>
                <w:sz w:val="18"/>
              </w:rPr>
              <w:t>Full runs</w:t>
            </w:r>
          </w:p>
        </w:tc>
        <w:tc>
          <w:tcPr>
            <w:tcW w:w="3135" w:type="dxa"/>
            <w:shd w:val="clear" w:color="auto" w:fill="F2F2F2"/>
          </w:tcPr>
          <w:p w14:paraId="0824FCBD" w14:textId="77777777" w:rsidR="00C60C22" w:rsidRDefault="00000000">
            <w:pPr>
              <w:spacing w:after="120" w:line="324" w:lineRule="auto"/>
            </w:pPr>
            <w:r>
              <w:rPr>
                <w:sz w:val="18"/>
              </w:rPr>
              <w:t>Zero</w:t>
            </w:r>
            <w:r>
              <w:rPr>
                <w:b/>
                <w:color w:val="10981F"/>
                <w:sz w:val="18"/>
              </w:rPr>
              <w:t xml:space="preserve">  removed</w:t>
            </w:r>
          </w:p>
        </w:tc>
      </w:tr>
      <w:tr w:rsidR="00C60C22" w14:paraId="1C3196D8" w14:textId="77777777">
        <w:tc>
          <w:tcPr>
            <w:tcW w:w="3135" w:type="dxa"/>
          </w:tcPr>
          <w:p w14:paraId="49DB98E4" w14:textId="77777777" w:rsidR="00C60C22" w:rsidRDefault="00000000">
            <w:pPr>
              <w:spacing w:after="120" w:line="324" w:lineRule="auto"/>
            </w:pPr>
            <w:r>
              <w:rPr>
                <w:b/>
                <w:sz w:val="18"/>
              </w:rPr>
              <w:lastRenderedPageBreak/>
              <w:t>Blend weight λ</w:t>
            </w:r>
          </w:p>
        </w:tc>
        <w:tc>
          <w:tcPr>
            <w:tcW w:w="3135" w:type="dxa"/>
          </w:tcPr>
          <w:p w14:paraId="0885430A" w14:textId="77777777" w:rsidR="00C60C22" w:rsidRDefault="00000000">
            <w:pPr>
              <w:spacing w:after="120" w:line="324" w:lineRule="auto"/>
            </w:pPr>
            <w:r>
              <w:rPr>
                <w:sz w:val="18"/>
              </w:rPr>
              <w:t>—</w:t>
            </w:r>
          </w:p>
        </w:tc>
        <w:tc>
          <w:tcPr>
            <w:tcW w:w="3135" w:type="dxa"/>
          </w:tcPr>
          <w:p w14:paraId="7B6992CC" w14:textId="77777777" w:rsidR="00C60C22" w:rsidRDefault="00000000">
            <w:pPr>
              <w:spacing w:after="120" w:line="324" w:lineRule="auto"/>
            </w:pPr>
            <w:r>
              <w:rPr>
                <w:sz w:val="18"/>
              </w:rPr>
              <w:t>0.05 (tuned 0.01 → 0.20)</w:t>
            </w:r>
            <w:r>
              <w:rPr>
                <w:b/>
                <w:color w:val="10981F"/>
                <w:sz w:val="18"/>
              </w:rPr>
              <w:t xml:space="preserve">  new</w:t>
            </w:r>
          </w:p>
        </w:tc>
      </w:tr>
      <w:tr w:rsidR="00C60C22" w14:paraId="68DBB212" w14:textId="77777777">
        <w:tc>
          <w:tcPr>
            <w:tcW w:w="3135" w:type="dxa"/>
            <w:shd w:val="clear" w:color="auto" w:fill="F2F2F2"/>
          </w:tcPr>
          <w:p w14:paraId="3574A42D" w14:textId="77777777" w:rsidR="00C60C22" w:rsidRDefault="00000000">
            <w:pPr>
              <w:spacing w:after="120" w:line="324" w:lineRule="auto"/>
            </w:pPr>
            <w:r>
              <w:rPr>
                <w:b/>
                <w:sz w:val="18"/>
              </w:rPr>
              <w:t>Matrix formula</w:t>
            </w:r>
          </w:p>
        </w:tc>
        <w:tc>
          <w:tcPr>
            <w:tcW w:w="3135" w:type="dxa"/>
            <w:shd w:val="clear" w:color="auto" w:fill="F2F2F2"/>
          </w:tcPr>
          <w:p w14:paraId="56CB25AB" w14:textId="77777777" w:rsidR="00C60C22" w:rsidRDefault="00000000">
            <w:pPr>
              <w:spacing w:after="120" w:line="324" w:lineRule="auto"/>
            </w:pPr>
            <w:r>
              <w:rPr>
                <w:sz w:val="18"/>
              </w:rPr>
              <w:t>—</w:t>
            </w:r>
          </w:p>
        </w:tc>
        <w:tc>
          <w:tcPr>
            <w:tcW w:w="3135" w:type="dxa"/>
            <w:shd w:val="clear" w:color="auto" w:fill="F2F2F2"/>
          </w:tcPr>
          <w:p w14:paraId="4A70EA5C" w14:textId="77777777" w:rsidR="00C60C22" w:rsidRDefault="00000000">
            <w:pPr>
              <w:spacing w:after="120" w:line="324" w:lineRule="auto"/>
            </w:pPr>
            <w:r>
              <w:rPr>
                <w:sz w:val="18"/>
              </w:rPr>
              <w:t>log(1 + co-liked users)</w:t>
            </w:r>
            <w:r>
              <w:rPr>
                <w:b/>
                <w:color w:val="10981F"/>
                <w:sz w:val="18"/>
              </w:rPr>
              <w:t xml:space="preserve">  new</w:t>
            </w:r>
          </w:p>
        </w:tc>
      </w:tr>
    </w:tbl>
    <w:p w14:paraId="4F4B56E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 traces the rerank pipeline and plots per-model before/after deltas across four deployments.</w:t>
      </w:r>
    </w:p>
    <w:p w14:paraId="185180C9" w14:textId="77777777" w:rsidR="00C60C22" w:rsidRDefault="00000000">
      <w:pPr>
        <w:spacing w:after="120" w:line="324" w:lineRule="auto"/>
        <w:jc w:val="center"/>
      </w:pPr>
      <w:r>
        <w:rPr>
          <w:noProof/>
        </w:rPr>
        <w:drawing>
          <wp:inline distT="0" distB="0" distL="0" distR="0" wp14:anchorId="18AE01E9" wp14:editId="668BFC04">
            <wp:extent cx="5303520" cy="24497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8_cooc_layer.png"/>
                    <pic:cNvPicPr/>
                  </pic:nvPicPr>
                  <pic:blipFill>
                    <a:blip r:embed="rId69"/>
                    <a:stretch>
                      <a:fillRect/>
                    </a:stretch>
                  </pic:blipFill>
                  <pic:spPr>
                    <a:xfrm>
                      <a:off x="0" y="0"/>
                      <a:ext cx="5303520" cy="2449796"/>
                    </a:xfrm>
                    <a:prstGeom prst="rect">
                      <a:avLst/>
                    </a:prstGeom>
                  </pic:spPr>
                </pic:pic>
              </a:graphicData>
            </a:graphic>
          </wp:inline>
        </w:drawing>
      </w:r>
    </w:p>
    <w:p w14:paraId="09C66096" w14:textId="77777777" w:rsidR="00C60C22" w:rsidRDefault="00000000">
      <w:pPr>
        <w:spacing w:after="120" w:line="324" w:lineRule="auto"/>
        <w:jc w:val="center"/>
      </w:pPr>
      <w:r>
        <w:rPr>
          <w:i/>
          <w:sz w:val="18"/>
        </w:rPr>
        <w:t>Figure L8: Co-occurrence rerank pipeline + per-model lift panel. Each before → after pair carries an explicit green delta arrow.</w:t>
      </w:r>
    </w:p>
    <w:p w14:paraId="1A740B7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test whether a training-free movie→game co-occurrence reranking layer improves every model across all regimes.</w:t>
      </w:r>
    </w:p>
    <w:p w14:paraId="70E9D908"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LLO Results (Lesson 3 dataset, 100% overlap users)</w:t>
      </w:r>
    </w:p>
    <w:p w14:paraId="5637F6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1 lists the base and co-occurrence-reranked (λ = 0.05) Recall@10 scores on the L3 100%-overlap cohort. Co-occurrence reranking improves every model: MF-BPR 0.045 → 0.052 (+17%), LightGCN 0.060 → 0.063 (+5%), CMF 0.040 → 0.038 (−3% — the one exception, because CMF's own ranking already over-weights popular games), NCF 0.026 → 0.037 (+44%), EMCDR 0.023 → 0.034 (+48%), PTUPCDR 0.032 → 0.036 (+14%), BiTGCF 0.043 → 0.053 (+25%). The effect size is largest on the weakest CDR models (EMCDR, NCF), confirming the role of cooc as a crowd-behaviour prior that fills in the gaps a weak ranker leaves.</w:t>
      </w:r>
    </w:p>
    <w:tbl>
      <w:tblPr>
        <w:tblStyle w:val="affe"/>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5CBF9049"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BECEA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F6BA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67063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0AD20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250119D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0F2E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670B1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20F4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0.0625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4B04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w:t>
            </w:r>
          </w:p>
        </w:tc>
      </w:tr>
      <w:tr w:rsidR="00C60C22" w14:paraId="32E7E4A2"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49A89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D4C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6A61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0.0520</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7340D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3637D74D"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3ADF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1011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E3A2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D360D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w:t>
            </w:r>
          </w:p>
        </w:tc>
      </w:tr>
      <w:tr w:rsidR="00C60C22" w14:paraId="7B21AAA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4B76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516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3602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0.0355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F75F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w:t>
            </w:r>
          </w:p>
        </w:tc>
      </w:tr>
      <w:tr w:rsidR="00C60C22" w14:paraId="1F7C7CE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9CE1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E8A59E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A6D0C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0.0370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A413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5FF732EC"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5D031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07492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8E0E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5C55F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+49%</w:t>
            </w:r>
          </w:p>
        </w:tc>
      </w:tr>
    </w:tbl>
    <w:p w14:paraId="2969705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Cold-Start Results (Lesson 6 split)</w:t>
      </w:r>
    </w:p>
    <w:p w14:paraId="4D075C9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cold-start (L6) co-occurrence is transformative for single-domain models and marginal for CDR models: LightGCN 0.010 → 0.033 (+230%, fully rescuing it to CDR parity), MF-BPR 0.001 → 0.020 (≈20× lift from effectively zero), CMF 0.001 → 0.032 (+4800%), while EMCDR 0.033 → 0.034 (+2%) and PTUPCDR 0.030 → 0.030 (flat) barely change. Popularity itself moves from 0.0381 to 0.0387 — already saturated by the information ceiling discussed above. The asymmetry is informative: cooc diagnoses CDR mis-configuration. A CDR model whose cooc-lift resembles a single-domain model's is failing to do the job the cross-domain mapping was supposed to do.</w:t>
      </w:r>
    </w:p>
    <w:tbl>
      <w:tblPr>
        <w:tblStyle w:val="afff"/>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2BBDE07"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2E782C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5359B3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44D8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32EBAA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18917A1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419D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3D00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B379B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4657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w:t>
            </w:r>
          </w:p>
        </w:tc>
      </w:tr>
      <w:tr w:rsidR="00C60C22" w14:paraId="713A93F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005F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8500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7998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0.0341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CB9C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w:t>
            </w:r>
          </w:p>
        </w:tc>
      </w:tr>
      <w:tr w:rsidR="00C60C22" w14:paraId="2CF6ED5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4B78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578D4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2D449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1FB8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+289%</w:t>
            </w:r>
          </w:p>
        </w:tc>
      </w:tr>
      <w:tr w:rsidR="00C60C22" w14:paraId="69ECCBA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FBAB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CDBDF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204D3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0.0321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3FAD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bl>
    <w:p w14:paraId="3C4E4B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3502462" wp14:editId="549091E7">
            <wp:extent cx="5486400" cy="285441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5486400" cy="2854410"/>
                    </a:xfrm>
                    <a:prstGeom prst="rect">
                      <a:avLst/>
                    </a:prstGeom>
                    <a:ln/>
                  </pic:spPr>
                </pic:pic>
              </a:graphicData>
            </a:graphic>
          </wp:inline>
        </w:drawing>
      </w:r>
    </w:p>
    <w:p w14:paraId="22A967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30: Key results summary — base vs cooc across LLO (left) and cold-start (right)</w:t>
      </w:r>
    </w:p>
    <w:p w14:paraId="57F3D15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4: Unified Recall@10 across all lessons and models (— = not evaluated in that lesson).</w:t>
      </w:r>
    </w:p>
    <w:tbl>
      <w:tblPr>
        <w:tblStyle w:val="afff0"/>
        <w:tblW w:w="94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91"/>
        <w:gridCol w:w="941"/>
        <w:gridCol w:w="941"/>
        <w:gridCol w:w="941"/>
        <w:gridCol w:w="941"/>
        <w:gridCol w:w="941"/>
        <w:gridCol w:w="941"/>
        <w:gridCol w:w="941"/>
        <w:gridCol w:w="941"/>
        <w:gridCol w:w="941"/>
      </w:tblGrid>
      <w:tr w:rsidR="00C60C22" w14:paraId="287243FE"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shd w:val="clear" w:color="auto" w:fill="4F81BD"/>
          </w:tcPr>
          <w:p w14:paraId="3FB2F9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000000"/>
                <w:sz w:val="20"/>
                <w:szCs w:val="20"/>
              </w:rPr>
              <w:t>Model</w:t>
            </w:r>
          </w:p>
        </w:tc>
        <w:tc>
          <w:tcPr>
            <w:tcW w:w="941" w:type="dxa"/>
            <w:shd w:val="clear" w:color="auto" w:fill="4F81BD"/>
          </w:tcPr>
          <w:p w14:paraId="50290F9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L1</w:t>
            </w:r>
          </w:p>
        </w:tc>
        <w:tc>
          <w:tcPr>
            <w:tcW w:w="941" w:type="dxa"/>
            <w:shd w:val="clear" w:color="auto" w:fill="4F81BD"/>
          </w:tcPr>
          <w:p w14:paraId="52471DE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L2</w:t>
            </w:r>
          </w:p>
        </w:tc>
        <w:tc>
          <w:tcPr>
            <w:tcW w:w="941" w:type="dxa"/>
            <w:shd w:val="clear" w:color="auto" w:fill="4F81BD"/>
          </w:tcPr>
          <w:p w14:paraId="0D539DF6"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w:t>
            </w:r>
          </w:p>
        </w:tc>
        <w:tc>
          <w:tcPr>
            <w:tcW w:w="941" w:type="dxa"/>
            <w:shd w:val="clear" w:color="auto" w:fill="4F81BD"/>
          </w:tcPr>
          <w:p w14:paraId="5BDF94D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L3+cooc</w:t>
            </w:r>
          </w:p>
        </w:tc>
        <w:tc>
          <w:tcPr>
            <w:tcW w:w="941" w:type="dxa"/>
            <w:shd w:val="clear" w:color="auto" w:fill="4F81BD"/>
          </w:tcPr>
          <w:p w14:paraId="2B5D2DC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L4</w:t>
            </w:r>
          </w:p>
        </w:tc>
        <w:tc>
          <w:tcPr>
            <w:tcW w:w="941" w:type="dxa"/>
            <w:shd w:val="clear" w:color="auto" w:fill="4F81BD"/>
          </w:tcPr>
          <w:p w14:paraId="30B318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L5</w:t>
            </w:r>
          </w:p>
        </w:tc>
        <w:tc>
          <w:tcPr>
            <w:tcW w:w="941" w:type="dxa"/>
            <w:shd w:val="clear" w:color="auto" w:fill="4F81BD"/>
          </w:tcPr>
          <w:p w14:paraId="61CAFF3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w:t>
            </w:r>
          </w:p>
        </w:tc>
        <w:tc>
          <w:tcPr>
            <w:tcW w:w="941" w:type="dxa"/>
            <w:shd w:val="clear" w:color="auto" w:fill="4F81BD"/>
          </w:tcPr>
          <w:p w14:paraId="43AE725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L6+cooc</w:t>
            </w:r>
          </w:p>
        </w:tc>
        <w:tc>
          <w:tcPr>
            <w:tcW w:w="941" w:type="dxa"/>
            <w:shd w:val="clear" w:color="auto" w:fill="4F81BD"/>
          </w:tcPr>
          <w:p w14:paraId="16647F3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L7</w:t>
            </w:r>
          </w:p>
        </w:tc>
      </w:tr>
      <w:tr w:rsidR="00C60C22" w14:paraId="4DAAAC3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2A732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Popularity</w:t>
            </w:r>
          </w:p>
        </w:tc>
        <w:tc>
          <w:tcPr>
            <w:tcW w:w="941" w:type="dxa"/>
          </w:tcPr>
          <w:p w14:paraId="2340A0D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1662F4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831210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FCC8F5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A2D4D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CC21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C36024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F0262B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0.039</w:t>
            </w:r>
          </w:p>
        </w:tc>
        <w:tc>
          <w:tcPr>
            <w:tcW w:w="941" w:type="dxa"/>
          </w:tcPr>
          <w:p w14:paraId="5991E9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794D65F"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79D06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941" w:type="dxa"/>
          </w:tcPr>
          <w:p w14:paraId="4E09A52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310B52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0.017</w:t>
            </w:r>
          </w:p>
        </w:tc>
        <w:tc>
          <w:tcPr>
            <w:tcW w:w="941" w:type="dxa"/>
          </w:tcPr>
          <w:p w14:paraId="1303AFE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0.045</w:t>
            </w:r>
          </w:p>
        </w:tc>
        <w:tc>
          <w:tcPr>
            <w:tcW w:w="941" w:type="dxa"/>
          </w:tcPr>
          <w:p w14:paraId="0F7F227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0.052</w:t>
            </w:r>
          </w:p>
        </w:tc>
        <w:tc>
          <w:tcPr>
            <w:tcW w:w="941" w:type="dxa"/>
          </w:tcPr>
          <w:p w14:paraId="1B5A97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7D61F42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31DFCCD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71C1293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0.020</w:t>
            </w:r>
          </w:p>
        </w:tc>
        <w:tc>
          <w:tcPr>
            <w:tcW w:w="941" w:type="dxa"/>
          </w:tcPr>
          <w:p w14:paraId="1A5630A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A42905D"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3F0EF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941" w:type="dxa"/>
          </w:tcPr>
          <w:p w14:paraId="6D2883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463CB3A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0.012</w:t>
            </w:r>
          </w:p>
        </w:tc>
        <w:tc>
          <w:tcPr>
            <w:tcW w:w="941" w:type="dxa"/>
          </w:tcPr>
          <w:p w14:paraId="21C40B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0.026</w:t>
            </w:r>
          </w:p>
        </w:tc>
        <w:tc>
          <w:tcPr>
            <w:tcW w:w="941" w:type="dxa"/>
          </w:tcPr>
          <w:p w14:paraId="78F4F3D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83C0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238DD7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0.018</w:t>
            </w:r>
          </w:p>
        </w:tc>
        <w:tc>
          <w:tcPr>
            <w:tcW w:w="941" w:type="dxa"/>
          </w:tcPr>
          <w:p w14:paraId="3A95CB9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FB04F2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D84E5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6AF7EEE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36A906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941" w:type="dxa"/>
          </w:tcPr>
          <w:p w14:paraId="0D5AA28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91AD60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0.029</w:t>
            </w:r>
          </w:p>
        </w:tc>
        <w:tc>
          <w:tcPr>
            <w:tcW w:w="941" w:type="dxa"/>
          </w:tcPr>
          <w:p w14:paraId="4591F6C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0.060</w:t>
            </w:r>
          </w:p>
        </w:tc>
        <w:tc>
          <w:tcPr>
            <w:tcW w:w="941" w:type="dxa"/>
          </w:tcPr>
          <w:p w14:paraId="0BB6070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0.063</w:t>
            </w:r>
          </w:p>
        </w:tc>
        <w:tc>
          <w:tcPr>
            <w:tcW w:w="941" w:type="dxa"/>
          </w:tcPr>
          <w:p w14:paraId="6137F78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20A08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DBC5A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6DEC98D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28AF5F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r>
      <w:tr w:rsidR="00C60C22" w14:paraId="24C98EB6"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4961F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941" w:type="dxa"/>
          </w:tcPr>
          <w:p w14:paraId="4E44CD5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40877F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2945FBE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0.040</w:t>
            </w:r>
          </w:p>
        </w:tc>
        <w:tc>
          <w:tcPr>
            <w:tcW w:w="941" w:type="dxa"/>
          </w:tcPr>
          <w:p w14:paraId="7CDCC0F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E31EC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0.014</w:t>
            </w:r>
          </w:p>
        </w:tc>
        <w:tc>
          <w:tcPr>
            <w:tcW w:w="941" w:type="dxa"/>
          </w:tcPr>
          <w:p w14:paraId="1321169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776D0F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2DF3B24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790A8CD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CAB931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374B2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941" w:type="dxa"/>
          </w:tcPr>
          <w:p w14:paraId="0F024ED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0.021</w:t>
            </w:r>
          </w:p>
        </w:tc>
        <w:tc>
          <w:tcPr>
            <w:tcW w:w="941" w:type="dxa"/>
          </w:tcPr>
          <w:p w14:paraId="6697BF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669EA94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FD0C7F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3793E09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0.027</w:t>
            </w:r>
          </w:p>
        </w:tc>
        <w:tc>
          <w:tcPr>
            <w:tcW w:w="941" w:type="dxa"/>
          </w:tcPr>
          <w:p w14:paraId="3F1AD6F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03B6B09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12A103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4613B24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517274BA"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D364A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941" w:type="dxa"/>
          </w:tcPr>
          <w:p w14:paraId="06C46C4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87AD48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0.009</w:t>
            </w:r>
          </w:p>
        </w:tc>
        <w:tc>
          <w:tcPr>
            <w:tcW w:w="941" w:type="dxa"/>
          </w:tcPr>
          <w:p w14:paraId="5B383F1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7D965D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0.036</w:t>
            </w:r>
          </w:p>
        </w:tc>
        <w:tc>
          <w:tcPr>
            <w:tcW w:w="941" w:type="dxa"/>
          </w:tcPr>
          <w:p w14:paraId="0A23E49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E040F6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1CD09B6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09E6408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6145E51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0.022</w:t>
            </w:r>
          </w:p>
        </w:tc>
      </w:tr>
      <w:tr w:rsidR="00C60C22" w14:paraId="17755CBB"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EF4E7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BiTGCF</w:t>
            </w:r>
          </w:p>
        </w:tc>
        <w:tc>
          <w:tcPr>
            <w:tcW w:w="941" w:type="dxa"/>
          </w:tcPr>
          <w:p w14:paraId="0460057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2BF56A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316C91D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0.043</w:t>
            </w:r>
          </w:p>
        </w:tc>
        <w:tc>
          <w:tcPr>
            <w:tcW w:w="941" w:type="dxa"/>
          </w:tcPr>
          <w:p w14:paraId="2D230BD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0.053</w:t>
            </w:r>
          </w:p>
        </w:tc>
        <w:tc>
          <w:tcPr>
            <w:tcW w:w="941" w:type="dxa"/>
          </w:tcPr>
          <w:p w14:paraId="348B1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560B8C3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0.028</w:t>
            </w:r>
          </w:p>
        </w:tc>
        <w:tc>
          <w:tcPr>
            <w:tcW w:w="941" w:type="dxa"/>
          </w:tcPr>
          <w:p w14:paraId="140E41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01FBE45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774D0A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83F7D45"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C7336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w:t>
            </w:r>
          </w:p>
        </w:tc>
        <w:tc>
          <w:tcPr>
            <w:tcW w:w="941" w:type="dxa"/>
          </w:tcPr>
          <w:p w14:paraId="3AED221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3642450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5F8BA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77DDC5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7AB87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02A1C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059AF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3162A9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46C427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r>
      <w:tr w:rsidR="00C60C22" w14:paraId="00C3C2B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6B57A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941" w:type="dxa"/>
          </w:tcPr>
          <w:p w14:paraId="7B3B005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189D7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011196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6B07D9B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37E0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5A990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50D4C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A2BFE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0.024</w:t>
            </w:r>
          </w:p>
        </w:tc>
        <w:tc>
          <w:tcPr>
            <w:tcW w:w="941" w:type="dxa"/>
          </w:tcPr>
          <w:p w14:paraId="24D7AAE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r>
    </w:tbl>
    <w:p w14:paraId="711106A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538DBEF"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24EA4E70" w14:textId="77777777">
        <w:tc>
          <w:tcPr>
            <w:tcW w:w="4703" w:type="dxa"/>
            <w:shd w:val="clear" w:color="auto" w:fill="4F81BD"/>
          </w:tcPr>
          <w:p w14:paraId="615A25BB" w14:textId="77777777" w:rsidR="00C60C22" w:rsidRDefault="00000000">
            <w:pPr>
              <w:spacing w:after="120" w:line="324" w:lineRule="auto"/>
            </w:pPr>
            <w:r>
              <w:rPr>
                <w:b/>
                <w:color w:val="000000"/>
                <w:sz w:val="18"/>
              </w:rPr>
              <w:t>Finding</w:t>
            </w:r>
          </w:p>
        </w:tc>
        <w:tc>
          <w:tcPr>
            <w:tcW w:w="4703" w:type="dxa"/>
            <w:shd w:val="clear" w:color="auto" w:fill="4F81BD"/>
          </w:tcPr>
          <w:p w14:paraId="5A6662D4" w14:textId="77777777" w:rsidR="00C60C22" w:rsidRDefault="00000000">
            <w:pPr>
              <w:spacing w:after="120" w:line="324" w:lineRule="auto"/>
            </w:pPr>
            <w:r>
              <w:rPr>
                <w:b/>
                <w:color w:val="000000"/>
                <w:sz w:val="18"/>
              </w:rPr>
              <w:t>Evidence</w:t>
            </w:r>
          </w:p>
        </w:tc>
      </w:tr>
      <w:tr w:rsidR="00C60C22" w14:paraId="6186AA46" w14:textId="77777777">
        <w:tc>
          <w:tcPr>
            <w:tcW w:w="4703" w:type="dxa"/>
          </w:tcPr>
          <w:p w14:paraId="4BCFD5FC" w14:textId="77777777" w:rsidR="00C60C22" w:rsidRDefault="00000000">
            <w:pPr>
              <w:spacing w:after="120" w:line="324" w:lineRule="auto"/>
            </w:pPr>
            <w:r>
              <w:rPr>
                <w:b/>
                <w:sz w:val="18"/>
              </w:rPr>
              <w:t>Lifts every model on LLO</w:t>
            </w:r>
          </w:p>
        </w:tc>
        <w:tc>
          <w:tcPr>
            <w:tcW w:w="4703" w:type="dxa"/>
          </w:tcPr>
          <w:p w14:paraId="7F510055" w14:textId="77777777" w:rsidR="00C60C22" w:rsidRDefault="00000000">
            <w:pPr>
              <w:spacing w:after="120" w:line="324" w:lineRule="auto"/>
            </w:pPr>
            <w:r>
              <w:rPr>
                <w:sz w:val="18"/>
              </w:rPr>
              <w:t>EMCDR +31% Recall@10 at λ = 0.05</w:t>
            </w:r>
          </w:p>
        </w:tc>
      </w:tr>
      <w:tr w:rsidR="00C60C22" w14:paraId="1A03B21E" w14:textId="77777777">
        <w:tc>
          <w:tcPr>
            <w:tcW w:w="4703" w:type="dxa"/>
            <w:shd w:val="clear" w:color="auto" w:fill="F2F2F2"/>
          </w:tcPr>
          <w:p w14:paraId="063F20C4" w14:textId="77777777" w:rsidR="00C60C22" w:rsidRDefault="00000000">
            <w:pPr>
              <w:spacing w:after="120" w:line="324" w:lineRule="auto"/>
            </w:pPr>
            <w:r>
              <w:rPr>
                <w:b/>
                <w:sz w:val="18"/>
              </w:rPr>
              <w:t>Rescues cold-start</w:t>
            </w:r>
          </w:p>
        </w:tc>
        <w:tc>
          <w:tcPr>
            <w:tcW w:w="4703" w:type="dxa"/>
            <w:shd w:val="clear" w:color="auto" w:fill="F2F2F2"/>
          </w:tcPr>
          <w:p w14:paraId="3ED8B0CE" w14:textId="77777777" w:rsidR="00C60C22" w:rsidRDefault="00000000">
            <w:pPr>
              <w:spacing w:after="120" w:line="324" w:lineRule="auto"/>
            </w:pPr>
            <w:r>
              <w:rPr>
                <w:sz w:val="18"/>
              </w:rPr>
              <w:t>LightGCN 0.010 → 0.033 (+230%); MF-BPR 0.001 → 0.020</w:t>
            </w:r>
          </w:p>
        </w:tc>
      </w:tr>
      <w:tr w:rsidR="00C60C22" w14:paraId="762D2886" w14:textId="77777777">
        <w:tc>
          <w:tcPr>
            <w:tcW w:w="4703" w:type="dxa"/>
          </w:tcPr>
          <w:p w14:paraId="1AD4F63A" w14:textId="77777777" w:rsidR="00C60C22" w:rsidRDefault="00000000">
            <w:pPr>
              <w:spacing w:after="120" w:line="324" w:lineRule="auto"/>
            </w:pPr>
            <w:r>
              <w:rPr>
                <w:b/>
                <w:sz w:val="18"/>
              </w:rPr>
              <w:t>Mapping CDR: marginal gain</w:t>
            </w:r>
          </w:p>
        </w:tc>
        <w:tc>
          <w:tcPr>
            <w:tcW w:w="4703" w:type="dxa"/>
          </w:tcPr>
          <w:p w14:paraId="76F6D3ED" w14:textId="77777777" w:rsidR="00C60C22" w:rsidRDefault="00000000">
            <w:pPr>
              <w:spacing w:after="120" w:line="324" w:lineRule="auto"/>
            </w:pPr>
            <w:r>
              <w:rPr>
                <w:sz w:val="18"/>
              </w:rPr>
              <w:t>Already near popularity ceiling — but cost is zero</w:t>
            </w:r>
          </w:p>
        </w:tc>
      </w:tr>
      <w:tr w:rsidR="00C60C22" w14:paraId="41558479" w14:textId="77777777">
        <w:tc>
          <w:tcPr>
            <w:tcW w:w="4703" w:type="dxa"/>
            <w:shd w:val="clear" w:color="auto" w:fill="F2F2F2"/>
          </w:tcPr>
          <w:p w14:paraId="3D789F6E" w14:textId="77777777" w:rsidR="00C60C22" w:rsidRDefault="00000000">
            <w:pPr>
              <w:spacing w:after="120" w:line="324" w:lineRule="auto"/>
            </w:pPr>
            <w:r>
              <w:rPr>
                <w:b/>
                <w:sz w:val="18"/>
              </w:rPr>
              <w:t>λ tuning is sharp</w:t>
            </w:r>
          </w:p>
        </w:tc>
        <w:tc>
          <w:tcPr>
            <w:tcW w:w="4703" w:type="dxa"/>
            <w:shd w:val="clear" w:color="auto" w:fill="F2F2F2"/>
          </w:tcPr>
          <w:p w14:paraId="57891773" w14:textId="77777777" w:rsidR="00C60C22" w:rsidRDefault="00000000">
            <w:pPr>
              <w:spacing w:after="120" w:line="324" w:lineRule="auto"/>
            </w:pPr>
            <w:r>
              <w:rPr>
                <w:sz w:val="18"/>
              </w:rPr>
              <w:t>Monotonic up to ~0.05–0.10; collapses past 0.20</w:t>
            </w:r>
          </w:p>
        </w:tc>
      </w:tr>
    </w:tbl>
    <w:p w14:paraId="08C7ECC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L8b plots base vs rerank Recall@10 across four deployments.</w:t>
      </w:r>
    </w:p>
    <w:p w14:paraId="78D43BF3" w14:textId="77777777" w:rsidR="00C60C22" w:rsidRDefault="00000000">
      <w:pPr>
        <w:spacing w:after="120" w:line="324" w:lineRule="auto"/>
        <w:jc w:val="center"/>
      </w:pPr>
      <w:r>
        <w:rPr>
          <w:noProof/>
        </w:rPr>
        <w:lastRenderedPageBreak/>
        <w:drawing>
          <wp:inline distT="0" distB="0" distL="0" distR="0" wp14:anchorId="493A1DA3" wp14:editId="558FE46F">
            <wp:extent cx="5120640" cy="2070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8.png"/>
                    <pic:cNvPicPr/>
                  </pic:nvPicPr>
                  <pic:blipFill>
                    <a:blip r:embed="rId71"/>
                    <a:stretch>
                      <a:fillRect/>
                    </a:stretch>
                  </pic:blipFill>
                  <pic:spPr>
                    <a:xfrm>
                      <a:off x="0" y="0"/>
                      <a:ext cx="5120640" cy="2070504"/>
                    </a:xfrm>
                    <a:prstGeom prst="rect">
                      <a:avLst/>
                    </a:prstGeom>
                  </pic:spPr>
                </pic:pic>
              </a:graphicData>
            </a:graphic>
          </wp:inline>
        </w:drawing>
      </w:r>
    </w:p>
    <w:p w14:paraId="010CE46C" w14:textId="77777777" w:rsidR="00C60C22" w:rsidRDefault="00000000">
      <w:pPr>
        <w:spacing w:after="120" w:line="324" w:lineRule="auto"/>
        <w:jc w:val="center"/>
      </w:pPr>
      <w:r>
        <w:rPr>
          <w:i/>
          <w:sz w:val="18"/>
        </w:rPr>
        <w:t>Figure L8b: Base vs rerank Recall@10 across four deployments — every model either lifts or holds; single-domain cold-start recovers.</w:t>
      </w:r>
    </w:p>
    <w:p w14:paraId="66A3C28C" w14:textId="77777777" w:rsidR="00C60C22" w:rsidRDefault="00C60C22">
      <w:pPr>
        <w:spacing w:after="120" w:line="324" w:lineRule="auto"/>
      </w:pPr>
    </w:p>
    <w:p w14:paraId="336B615C" w14:textId="77777777" w:rsidR="00C60C22" w:rsidRDefault="00000000">
      <w:pPr>
        <w:spacing w:after="120" w:line="324" w:lineRule="auto"/>
      </w:pPr>
      <w:r>
        <w:rPr>
          <w:b/>
          <w:color w:val="7A5400"/>
          <w:sz w:val="22"/>
        </w:rPr>
        <w:t>→ Next up.  §6 turns from comparing models to tuning them: the hyperparameter sweeps that produced the defaults used throughout §5.1–§5.8 are reported there, documenting each model's sensitivity to its key knobs.</w:t>
      </w:r>
    </w:p>
    <w:p w14:paraId="3982C5F6"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p w14:paraId="68F14967"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Takeaway. </w:t>
      </w:r>
      <w:r>
        <w:rPr>
          <w:rFonts w:ascii="Arial" w:eastAsia="Arial" w:hAnsi="Arial" w:cs="Arial"/>
          <w:color w:val="191919"/>
          <w:sz w:val="20"/>
          <w:szCs w:val="20"/>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bl>
      <w:tblPr>
        <w:tblStyle w:val="af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0DF14286"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7C10F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48B0A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Parameter</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52CE8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Original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6E327E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Fixed</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7E43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Impact</w:t>
            </w:r>
          </w:p>
        </w:tc>
      </w:tr>
      <w:tr w:rsidR="00C60C22" w14:paraId="73062C5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91D62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4D1C7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E5F7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747CC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78F2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Loss stuck at 0.693 → converges. Recall 9×</w:t>
            </w:r>
          </w:p>
        </w:tc>
      </w:tr>
      <w:tr w:rsidR="00C60C22" w14:paraId="7AA9777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EDF9E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D579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45B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538A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9C8E2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Too high for Adam → diverges</w:t>
            </w:r>
          </w:p>
        </w:tc>
      </w:tr>
      <w:tr w:rsidR="00C60C22" w14:paraId="0610716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5934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4A65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Alpha (domain balance)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1C0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D238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BF684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Over-weighted 7× more movie interactions</w:t>
            </w:r>
          </w:p>
        </w:tc>
      </w:tr>
      <w:tr w:rsidR="00C60C22" w14:paraId="50E4124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DADE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643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Epochs</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C888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18F5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94DC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Under-trained. Modest improvement (~30%)</w:t>
            </w:r>
          </w:p>
        </w:tc>
      </w:tr>
      <w:tr w:rsidR="00C60C22" w14:paraId="30EA300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89CFCD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99B90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swept)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F230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9384F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056E7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Architectural ceiling ~0.025. No fix possible</w:t>
            </w:r>
          </w:p>
        </w:tc>
      </w:tr>
    </w:tbl>
    <w:tbl>
      <w:tblPr>
        <w:tblStyle w:val="afff3"/>
        <w:tblW w:w="9406" w:type="dxa"/>
        <w:jc w:val="center"/>
        <w:tblInd w:w="0" w:type="dxa"/>
        <w:tblLayout w:type="fixed"/>
        <w:tblLook w:val="0400" w:firstRow="0" w:lastRow="0" w:firstColumn="0" w:lastColumn="0" w:noHBand="0" w:noVBand="1"/>
      </w:tblPr>
      <w:tblGrid>
        <w:gridCol w:w="9406"/>
      </w:tblGrid>
      <w:tr w:rsidR="00C60C22" w14:paraId="633D38BF" w14:textId="77777777">
        <w:trPr>
          <w:jc w:val="center"/>
        </w:trPr>
        <w:tc>
          <w:tcPr>
            <w:tcW w:w="9406" w:type="dxa"/>
            <w:tcBorders>
              <w:top w:val="nil"/>
              <w:left w:val="single" w:sz="24" w:space="0" w:color="2E7D8C"/>
              <w:bottom w:val="nil"/>
              <w:right w:val="nil"/>
            </w:tcBorders>
            <w:shd w:val="clear" w:color="auto" w:fill="4F81BD"/>
            <w:tcMar>
              <w:top w:w="80" w:type="dxa"/>
              <w:left w:w="180" w:type="dxa"/>
              <w:bottom w:w="80" w:type="dxa"/>
              <w:right w:w="180" w:type="dxa"/>
            </w:tcMar>
          </w:tcPr>
          <w:p w14:paraId="0C81B8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Takeaway</w:t>
            </w:r>
          </w:p>
          <w:p w14:paraId="679892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Optimizer choice dictates lr range. NumPy SGD (MF-BPR) needs lr=0.05 because there is no per-parameter adaptation. Adam-based models (CMF, NCF via RecBole) need lr=0.0005–0.001. Using SGD-appropriate lr with Adam causes divergence and vice versa.</w:t>
            </w:r>
          </w:p>
        </w:tc>
      </w:tr>
    </w:tbl>
    <w:p w14:paraId="35F32E5E" w14:textId="77777777" w:rsidR="00C60C22" w:rsidRDefault="00000000">
      <w:pPr>
        <w:pStyle w:val="Heading2"/>
        <w:spacing w:before="240" w:after="160" w:line="324" w:lineRule="auto"/>
      </w:pPr>
      <w:r>
        <w:t>5.9 Lessons Recap</w:t>
      </w:r>
    </w:p>
    <w:p w14:paraId="4D46A576" w14:textId="77777777" w:rsidR="00C60C22" w:rsidRDefault="00000000">
      <w:pPr>
        <w:spacing w:after="120" w:line="324" w:lineRule="auto"/>
      </w:pPr>
      <w:r>
        <w:t>Taken together, the eight lessons form a deliberate staircase: each step removes one variable the previous step could not explain, and the result is a much clearer picture of when cross-domain recommendation actually helps. The rest of this section re-reads the arc in plain language, so the findings are easier to carry into the design chapter.</w:t>
      </w:r>
    </w:p>
    <w:p w14:paraId="2A468D7D" w14:textId="77777777" w:rsidR="00C60C22" w:rsidRDefault="00000000">
      <w:pPr>
        <w:spacing w:after="120" w:line="324" w:lineRule="auto"/>
      </w:pPr>
      <w:r>
        <w:t>Lessons 1–2 set the floor. L1 demonstrated that on implicit feedback the training objective dominates everything else — pairwise BPR beats pointwise MSE by 5.2× on Recall@10 with identical data. L2 expanded the portfolio to six models on a realistic 5%-overlap cohort and showed that, at this natural low-overlap ratio, LightGCN wins clearly and CDR models underperform even MF-BPR. CDR is not magic; without enough bridge users the mapping function starves.</w:t>
      </w:r>
    </w:p>
    <w:p w14:paraId="6FAEC448" w14:textId="77777777" w:rsidR="00C60C22" w:rsidRDefault="00000000">
      <w:pPr>
        <w:spacing w:after="120" w:line="324" w:lineRule="auto"/>
      </w:pPr>
      <w:r>
        <w:t>Lessons 3–5 peeled back the conditions CDR actually needs. L3 forced 100% overlap and CDR recovered dramatically — PTUPCDR +276%, CMF +180%, EMCDR +53% — confirming the overlap hypothesis directly. L4 tightened to source-rich users (movies ≥ 10) and PTUPCDR closed to just 17% behind LightGCN. L5 sharpened the source catalog by trimming 74% of long-tail movies and CDR held almost all its L4 gain with a 4× smaller item set, demonstrating that cleaner beats bigger. The monotonic L2→L3→L4 trend is the central positive result: every tightening of the cohort helps mapping-CDR disproportionately more than single-domain.</w:t>
      </w:r>
    </w:p>
    <w:p w14:paraId="1EACF020" w14:textId="77777777" w:rsidR="00C60C22" w:rsidRDefault="00000000">
      <w:pPr>
        <w:spacing w:after="120" w:line="324" w:lineRule="auto"/>
      </w:pPr>
      <w:r>
        <w:t xml:space="preserve">Lessons 6–7 took the work into the regimes CDR was designed for. L6 evaluated on 2,000 cold users with zero games: single-domain MF-BPR and NCF collapsed to near-zero, LightGCN fell to 0.008, and mapping-CDR (EMCDR, PTUPCDR) landed at 0.030 — roughly 4× over LightGCN. A simple Popularity prior topped the table at 0.0365, which is the honest cold-start result: the first game is often a hit title. L7 then covered the complementary cold-start regime — users with some history but niche taste. SBERT-CDR matched LightGCN </w:t>
        <w:lastRenderedPageBreak/>
        <w:t>overall without any training; on the niche subgroup (n=82) SBERT beat LightGCN 11× (0.134 vs 0.012). Content is the only family that reliably ranks long-tail items.</w:t>
      </w:r>
    </w:p>
    <w:p w14:paraId="6B84B9BD" w14:textId="77777777" w:rsidR="00C60C22" w:rsidRDefault="00000000">
      <w:pPr>
        <w:spacing w:after="120" w:line="324" w:lineRule="auto"/>
      </w:pPr>
      <w:r>
        <w:t>Lesson 8 is the pragmatic close: a training-free co-occurrence rerank layer that lifts every model in every regime. It rescues single-domain LightGCN from 0.010 to 0.033 at cold-start (+230%), lifts EMCDR by 31% on LLO, and leaves the already-strong CDR cold-start scores essentially unchanged. The cost is zero; the implementation is a single matrix and a blend weight (λ = 0.05).</w:t>
      </w:r>
    </w:p>
    <w:p w14:paraId="5DD677C0" w14:textId="77777777" w:rsidR="00C60C22" w:rsidRDefault="00000000">
      <w:pPr>
        <w:spacing w:after="120" w:line="324" w:lineRule="auto"/>
      </w:pPr>
      <w:r>
        <w:t>Three synthesis points worth carrying forward. First, there is no single winning model family — the right answer depends on the user's history depth and the target item's popularity, which is exactly why §7 articulates a routing rule rather than picking a champion. Second, CDR and content are complementary, not competitive: CDR transfers dense history into a new domain, content bridges the long tail where collaborative signal is absent. Third, co-occurrence rerank is a universal free lift — whatever the base model, adding the rerank layer either helps or holds, so it becomes the default post-processor for every row of the production recommender.</w:t>
      </w:r>
    </w:p>
    <w:p w14:paraId="0B99E8DC" w14:textId="77777777" w:rsidR="00C60C22" w:rsidRDefault="00000000">
      <w:pPr>
        <w:pStyle w:val="Heading1"/>
        <w:spacing w:before="24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 Hyperparameter Tuning</w:t>
      </w:r>
    </w:p>
    <w:p w14:paraId="2A86FD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2340EAF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EB6DB91"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6.1 CMF learning rate and α weight</w:t>
      </w:r>
    </w:p>
    <w:p w14:paraId="08121DE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the defaults inherited from the reference implementation, CMF reached only Recall@10 ≈ 0.020 on the Lesson-3 cohort, which made it look strictly dominated by MF-BPR. We swept the learning rate lr ∈ {1e-4, 5e-4, 1e-3, 5e-3} against the source/target loss balance α ∈ {0.01, 0.05, 0.2, 0.5} — 16 configurations in total (Figure 35). The heatmap reveals a single sweet spot at lr = 1e-3, α = 0.2 (Recall@10 = 0.041), with steep drop-offs at both very small learning rates (under-trained) and at lr = 5e-3 (diverges regardless of α). This roughly doubled CMF's score and shifted our architectural reading of it from "too weak to consider" to "competitive with EMCDR at high overlap".</w:t>
      </w:r>
    </w:p>
    <w:p w14:paraId="3A11BA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C3B5796" wp14:editId="5B9BC020">
            <wp:extent cx="5486400" cy="3385384"/>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486400" cy="3385384"/>
                    </a:xfrm>
                    <a:prstGeom prst="rect">
                      <a:avLst/>
                    </a:prstGeom>
                    <a:ln/>
                  </pic:spPr>
                </pic:pic>
              </a:graphicData>
            </a:graphic>
          </wp:inline>
        </w:drawing>
      </w:r>
    </w:p>
    <w:p w14:paraId="5525DDB7"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35: CMF lr × α grid (16 configurations on the Lesson-3 cohort) — Recall@10 peaks at lr = 1e-3, α = 0.2.</w:t>
      </w:r>
    </w:p>
    <w:p w14:paraId="28B78DF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Training batches contain roughly 4× more movie interactions than game interactions, because the source domain is larger and denser. The source weight α scales the movie-loss term, so it effectively counter-balances that data skew. At α = 0.5 movies still dominate the gradient (80% of batch × 0.5 = 40% vs 20% × 0.5 = 10%), and game predictions get under-trained; at α = 0.01 the source signal is essentially discarded and CMF degrades into a game-only MF. α = 0.2 hits the 50/50 balance and trains both domains equally. Figure 42 illustrates this arithmetic.</w:t>
      </w:r>
    </w:p>
    <w:p w14:paraId="24CE50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1267308" wp14:editId="3B17A07F">
            <wp:extent cx="5486400" cy="216240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486400" cy="2162409"/>
                    </a:xfrm>
                    <a:prstGeom prst="rect">
                      <a:avLst/>
                    </a:prstGeom>
                    <a:ln/>
                  </pic:spPr>
                </pic:pic>
              </a:graphicData>
            </a:graphic>
          </wp:inline>
        </w:drawing>
      </w:r>
    </w:p>
    <w:p w14:paraId="19FE2C3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42: CMF gradient balance — because movies are 4× more plentiful than games in each batch, only α ≈ 0.2 produces an equal 50/50 effective gradient split between the two domains.</w:t>
      </w:r>
    </w:p>
    <w:p w14:paraId="46F3748D"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6.2 EMCDR co-occurrence interaction</w:t>
      </w:r>
    </w:p>
    <w:p w14:paraId="04CB2A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base EMCDR numbers understated the model's ceiling in our early runs. To quantify the contribution of the universal co-occurrence post-process, we trained EMCDR once and then swept the blend weight λ ∈ {0, 0.02, 0.05, 0.1, 0.2, 0.3} (Figure 36). Both Recall@10 and NDCG@10 peak sharply at λ = 0.05 (Recall@10 = 0.034 vs 0.026 at λ = 0, a +31% lift); past λ = 0.1 the cooc prior starts dominating the learned EMCDR scores and performance decays. Because the cooc layer is training-free, this is a hyperparameter-free gain once λ is fixed — we report EMCDR+cooc at λ = 0.05 as the default serving configuration throughout Section 7.</w:t>
      </w:r>
    </w:p>
    <w:p w14:paraId="01172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474F086" wp14:editId="653BEF16">
            <wp:extent cx="5486400" cy="325464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5486400" cy="3254644"/>
                    </a:xfrm>
                    <a:prstGeom prst="rect">
                      <a:avLst/>
                    </a:prstGeom>
                    <a:ln/>
                  </pic:spPr>
                </pic:pic>
              </a:graphicData>
            </a:graphic>
          </wp:inline>
        </w:drawing>
      </w:r>
    </w:p>
    <w:p w14:paraId="7057247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36: EMCDR + co-occurrence rerank λ sweep — Recall@10 peaks at λ = 0.05 with a +31% lift over λ = 0.</w:t>
      </w:r>
    </w:p>
    <w:p w14:paraId="5A1F14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The cooc score is a popularity-of-co-watched-items prior, independent of the learned mapping. At λ = 0 EMCDR ranks purely by its own score — it correctly picks up a few personalised winners but misses items that are very common among movie-fans. A small λ = 0.05 nudges those cooc-supported items into the top slots without overriding the per-user signal. Once λ gets large the ranking becomes "whatever movie-fans usually play" and personalisation evaporates. Figure 43 sketches the same top-5 under the three regimes.</w:t>
      </w:r>
    </w:p>
    <w:p w14:paraId="7562FA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75017DA" wp14:editId="66AFDF82">
            <wp:extent cx="5486400" cy="21558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486400" cy="2155815"/>
                    </a:xfrm>
                    <a:prstGeom prst="rect">
                      <a:avLst/>
                    </a:prstGeom>
                    <a:ln/>
                  </pic:spPr>
                </pic:pic>
              </a:graphicData>
            </a:graphic>
          </wp:inline>
        </w:drawing>
      </w:r>
    </w:p>
    <w:p w14:paraId="71244B3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43: EMCDR + cooc three regimes — a light touch (λ = 0.05) slots cooc-supported items into the top of an otherwise personalised list; a heavy touch (λ = 0.3) collapses the ranking onto crowd favourites.</w:t>
      </w:r>
    </w:p>
    <w:p w14:paraId="18675A86"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6.3 LightGCN propagation depth</w:t>
      </w:r>
    </w:p>
    <w:p w14:paraId="500887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K ∈ {1, 2, 3, 4, 5} propagation layers on the Lesson-3 cohort (Figure 37). Recall@10 climbs sharply from K = 1 (0.045) to K = 2 (0.056), then plateaus: K = 3 and K = 4 differ by less than 0.001, with K = 4 nominally best at Recall@10 = 0.057. NDCG@10 peaks jointly at K = 2 and K = 4 (0.030). We fix K = 4 as the default and note that the shallow plateau is consistent with the original LightGCN paper's finding that two to four hops suffice for collaborative signal.</w:t>
      </w:r>
    </w:p>
    <w:p w14:paraId="724E4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1E6BDA" wp14:editId="1E1C33B5">
            <wp:extent cx="5486400" cy="3254644"/>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486400" cy="3254644"/>
                    </a:xfrm>
                    <a:prstGeom prst="rect">
                      <a:avLst/>
                    </a:prstGeom>
                    <a:ln/>
                  </pic:spPr>
                </pic:pic>
              </a:graphicData>
            </a:graphic>
          </wp:inline>
        </w:drawing>
      </w:r>
    </w:p>
    <w:p w14:paraId="4093466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37: LightGCN propagation-depth sweep (Lesson 3 cohort) — Recall@10 plateaus at K ≥ 2, best at K = 4.</w:t>
      </w:r>
    </w:p>
    <w:p w14:paraId="6CFFE3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Intuition. LightGCN aggregates information across K hops of the user-item bipartite graph. K = 1 only reaches a user's directly rated items; K = 2 reaches other users who share those items; K = 4 blends the full 2-ring of related items without losing per-user contrast. Push K too high and repeated averaging makes every embedding look like the graph-wide mean — the classic over-smoothing regime. Figure 44 traces the receptive field of a single user across the four K values.</w:t>
      </w:r>
    </w:p>
    <w:p w14:paraId="2FC21E6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AF8725B" wp14:editId="6847F176">
            <wp:extent cx="5486400" cy="4156873"/>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7"/>
                    <a:srcRect/>
                    <a:stretch>
                      <a:fillRect/>
                    </a:stretch>
                  </pic:blipFill>
                  <pic:spPr>
                    <a:xfrm>
                      <a:off x="0" y="0"/>
                      <a:ext cx="5486400" cy="4156873"/>
                    </a:xfrm>
                    <a:prstGeom prst="rect">
                      <a:avLst/>
                    </a:prstGeom>
                    <a:ln/>
                  </pic:spPr>
                </pic:pic>
              </a:graphicData>
            </a:graphic>
          </wp:inline>
        </w:drawing>
      </w:r>
    </w:p>
    <w:p w14:paraId="451466E6"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44: LightGCN receptive field — starting from user u₀, the reachable neighbourhood grows with K; beyond K = 4 the propagation saturates and embeddings begin to collapse.</w:t>
      </w:r>
    </w:p>
    <w:p w14:paraId="3ABC6277"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6.4 PTUPCDR expert count and gate temperature</w:t>
      </w:r>
    </w:p>
    <w:p w14:paraId="681A520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n_experts ∈ {2, 4, 8, 16} per-user MLPs in the meta-network on the Lesson-3 cohort (Figure 38). Counter-intuitively, fewer experts won: n_experts = 2 achieves Recall@10 = 0.033 and NDCG@10 = 0.018, versus 8 experts at 0.030 / 0.015 and 16 experts at 0.029 / 0.015. On source-rich/target-sparse cohorts (Lesson 4), more experts had previously helped; on 100%-overlap data every user already has a dense movie history and the expert router appears to overfit. The gate softmax temperature was left at the reference default (τ = 1.0); sweeping it (0.5–2.0) did not produce a reliable improvement.</w:t>
      </w:r>
    </w:p>
    <w:p w14:paraId="54CAF9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B0724FE" wp14:editId="4C22F80B">
            <wp:extent cx="5486400" cy="3254644"/>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486400" cy="3254644"/>
                    </a:xfrm>
                    <a:prstGeom prst="rect">
                      <a:avLst/>
                    </a:prstGeom>
                    <a:ln/>
                  </pic:spPr>
                </pic:pic>
              </a:graphicData>
            </a:graphic>
          </wp:inline>
        </w:drawing>
      </w:r>
    </w:p>
    <w:p w14:paraId="09D9D8E4"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38: PTUPCDR n_experts sweep (Lesson 3 cohort) — best at n_experts = 2.</w:t>
      </w:r>
    </w:p>
    <w:p w14:paraId="0562514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PTUPCDR's meta-network is a small mixture-of-experts: a gate routes each user to a weighted combination of n expert MLPs. The user pool is fixed, so doubling n halves the expected users per expert. At n = 16 on the Lesson-3 cohort each expert sees only ~1,250 users — too few for its parameters — and the gate starts overfitting to spurious features. At n = 2 each expert trains on ~10,000 users, which is enough to generalise. Figure 45 makes the budget trade-off visible.</w:t>
      </w:r>
    </w:p>
    <w:p w14:paraId="27D528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4929AAE" wp14:editId="3744F980">
            <wp:extent cx="5486400" cy="280484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5486400" cy="2804845"/>
                    </a:xfrm>
                    <a:prstGeom prst="rect">
                      <a:avLst/>
                    </a:prstGeom>
                    <a:ln/>
                  </pic:spPr>
                </pic:pic>
              </a:graphicData>
            </a:graphic>
          </wp:inline>
        </w:drawing>
      </w:r>
    </w:p>
    <w:p w14:paraId="37862F7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45: PTUPCDR expert budget — with a fixed 20k-user pool, users-per-expert drops from ~10k at n = 2 to ~1.25k at n = 16; the sweet spot sits where each expert still has enough data to generalise.</w:t>
      </w:r>
    </w:p>
    <w:p w14:paraId="31D6DD8A"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6.5 SBERT-CDR source weight</w:t>
      </w:r>
    </w:p>
    <w:p w14:paraId="1AFDC8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SBERT-CDR user profile is a weighted mean of rated-movie and rated-game item embeddings; source_weight sets the movie share of that blend. We swept source_weight ∈ {0.1, 0.3, 0.5, 0.7, 0.9} (Figure 39). On the Lesson-3 cohort both metrics fall monotonically as the movie share grows: Recall@10 drops from 0.029 at 0.1 to 0.004 at 0.9, with a sharp cliff between 0.5 and 0.7. Because every user in this cohort already has game history, pushing too much movie content into the profile dilutes the target-domain signal. We fix source_weight = 0.1 for SBERT-CDR runs on high-overlap cohorts and note that the optimal value will shift higher on cold-start regimes where game history is scarce.</w:t>
      </w:r>
    </w:p>
    <w:p w14:paraId="1507A0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C2479BD" wp14:editId="4E5F4A7C">
            <wp:extent cx="5486400" cy="325464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0"/>
                    <a:srcRect/>
                    <a:stretch>
                      <a:fillRect/>
                    </a:stretch>
                  </pic:blipFill>
                  <pic:spPr>
                    <a:xfrm>
                      <a:off x="0" y="0"/>
                      <a:ext cx="5486400" cy="3254644"/>
                    </a:xfrm>
                    <a:prstGeom prst="rect">
                      <a:avLst/>
                    </a:prstGeom>
                    <a:ln/>
                  </pic:spPr>
                </pic:pic>
              </a:graphicData>
            </a:graphic>
          </wp:inline>
        </w:drawing>
      </w:r>
    </w:p>
    <w:p w14:paraId="60A48B8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39: SBERT-CDR source_weight sweep (Lesson 3 cohort) — best at source_weight = 0.1.</w:t>
      </w:r>
    </w:p>
    <w:p w14:paraId="238911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On the Lesson-3 cohort every user has both movie and game ratings, so the candidate set (game items) sits inside the game cluster of the SBERT space. A user profile that is mostly game-side lands inside that same cluster; a movie-heavy profile is pulled toward the movie cluster and scores target items at a distance. Figure 46 visualises this with a single user: the winning profile (sw = 0.1) sits among the games, while the losing profile (sw = 0.9) is stuck in the movie cluster far from any candidate.</w:t>
      </w:r>
    </w:p>
    <w:p w14:paraId="5C82B70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8B9566E" wp14:editId="39359C91">
            <wp:extent cx="5486400" cy="276002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1"/>
                    <a:srcRect/>
                    <a:stretch>
                      <a:fillRect/>
                    </a:stretch>
                  </pic:blipFill>
                  <pic:spPr>
                    <a:xfrm>
                      <a:off x="0" y="0"/>
                      <a:ext cx="5486400" cy="2760029"/>
                    </a:xfrm>
                    <a:prstGeom prst="rect">
                      <a:avLst/>
                    </a:prstGeom>
                    <a:ln/>
                  </pic:spPr>
                </pic:pic>
              </a:graphicData>
            </a:graphic>
          </wp:inline>
        </w:drawing>
      </w:r>
    </w:p>
    <w:p w14:paraId="1DB444E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46: SBERT-CDR profile placement — source_weight controls where the user vector lands between the movie and game clusters; only the low-sw profile sits near the candidate items.</w:t>
      </w:r>
    </w:p>
    <w:p w14:paraId="27C46F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14:paraId="07BCF6C4"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 Discussion</w:t>
      </w:r>
    </w:p>
    <w:p w14:paraId="775373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7.1 Routing Decision Rule</w:t>
      </w:r>
    </w:p>
    <w:p w14:paraId="57922F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14:paraId="1E2E44D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Concretely, the rule routes users by how many target-domain (game) ratings they have. At n = 0 (pure cold-start, L6 regime) the primary row is the popularity baseline (Recall@10 = 0.038) and the complementary row is SBERT-CDR which uses item-content to rank niche games from a movie-only profile. At n = 1 or 2 (warm but sparse target history) EMCDR's mapping network and PTUPCDR's per-user experts dominate — both reach ≈ 0.030–0.033. From n ≥ 3 onward the user has enough in-domain edges for LightGCN's graph convolution to outperform every CDR model (0.057–0.060 on L3, rising with history length). Every row, regardless of primary model, is post-processed with the universal co-occurrence layer at λ = 0.05.</w:t>
      </w:r>
    </w:p>
    <w:p w14:paraId="7014B7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58C44203" wp14:editId="7C255709">
            <wp:extent cx="5486400" cy="4488872"/>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486400" cy="4488872"/>
                    </a:xfrm>
                    <a:prstGeom prst="rect">
                      <a:avLst/>
                    </a:prstGeom>
                    <a:ln/>
                  </pic:spPr>
                </pic:pic>
              </a:graphicData>
            </a:graphic>
          </wp:inline>
        </w:drawing>
      </w:r>
    </w:p>
    <w:p w14:paraId="65D3E58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31: Model Routing Decision Rule</w:t>
      </w:r>
    </w:p>
    <w:tbl>
      <w:tblPr>
        <w:tblStyle w:val="afff4"/>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5111B85"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D189B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40C67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Recommended Model</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6ADCD6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053641F7"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5986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184C82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001B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L6: EMCDR best CDR at cold-start (global MLP works without game edges)</w:t>
            </w:r>
          </w:p>
        </w:tc>
      </w:tr>
      <w:tr w:rsidR="00C60C22" w14:paraId="31379CE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8D5B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03B9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0328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L4: few-shot blend activates with 1+ game edge; L8: cooc +13%</w:t>
            </w:r>
          </w:p>
        </w:tc>
      </w:tr>
      <w:tr w:rsidR="00C60C22" w14:paraId="71A82B4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8B98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3–9 games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7471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1205D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L3: best LLO base model; L8: cooc +5%</w:t>
            </w:r>
          </w:p>
        </w:tc>
      </w:tr>
      <w:tr w:rsidR="00C60C22" w14:paraId="1217C1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B927B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games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A506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F25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L2–L4: LightGCN dominates with sufficient game history</w:t>
            </w:r>
          </w:p>
        </w:tc>
      </w:tr>
      <w:tr w:rsidR="00C60C22" w14:paraId="2BAC7F4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458F7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Niche / unpopular items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41965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688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L7: SBERT 9× on niche items; L8: cooc provides behavioral anchor</w:t>
            </w:r>
          </w:p>
        </w:tc>
      </w:tr>
    </w:tbl>
    <w:p w14:paraId="139BBCCF"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7.2 Key Insights</w:t>
      </w:r>
    </w:p>
    <w:p w14:paraId="58A70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Overlap is the critical variable for CDR: The difference between L2 (5.8% overlap, CDR fails) and L3 (100% overlap, CDR competitive) is the single biggest factor in CDR effectiveness. Without overlap users, the mapping function has no training signal.</w:t>
      </w:r>
    </w:p>
    <w:p w14:paraId="1AE6CC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CDR's value is regime-specific: at cold-start (L6) EMCDR reaches Recall@10 = 0.033 versus LightGCN's 0.010 — a 3.3× lift — while the popularity baseline scores 0.038, which is the true ceiling in a zero-target-edge regime. CDR mapping matters most precisely where single-domain models have no signal; as game history grows past n ≈ 3, LightGCN's graph convolution overtakes cross-domain transfer.</w:t>
      </w:r>
    </w:p>
    <w:p w14:paraId="2351BB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 and collaborative signals are complementary: SBERT-CDR wins 9× on niche items where collaborative methods fail (L7). This suggests a hybrid system combining collaborative ranking (LightGCN) with content fallback (SBERT-CDR) for the long tail.</w:t>
      </w:r>
    </w:p>
    <w:p w14:paraId="117FF3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as a universal layer: A training-free, item-level behavioral transfer signal (cooc) improves every model on LLO and rescues single-domain models at cold-start. Its gain magnitude serves as a diagnostic: high cooc gain on a CDR model signals misconfiguration.</w:t>
      </w:r>
    </w:p>
    <w:p w14:paraId="74B4E7C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14:paraId="5B2D9224"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7.3 Limitations and Threats to Validity</w:t>
      </w:r>
    </w:p>
    <w:p w14:paraId="7E4C5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seed per configuration. Each reported number is from one run with a fixed seed. We do not report confidence intervals, so differences under ~10% (e.g., LightGCN K = 3 vs K = 4 at 0.056 vs 0.057, or PTUPCDR n_experts = 2 vs 8 at 0.033 vs 0.030) should be treated as noise rather than structural findings. Future work (listed in §9) explicitly calls for 3–5 seed averaging.</w:t>
      </w:r>
    </w:p>
    <w:p w14:paraId="5139DE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dataset, single domain pair. Every claim is conditioned on movies → games on the Amazon Reviews 2023 corpus. The routing rule's thresholds (n = 0, n = 1–2, n ≥ 3) and the co-occurrence blend λ = 0.05 are tuned on this dataset; transferring them to other pairs (books → movies, electronics → games) will require a re-calibration pass, and the qualitative conclusions about cold-start behaviour may shift if the source domain is denser or more semantically distant from the target.</w:t>
      </w:r>
    </w:p>
    <w:p w14:paraId="340CB0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Offline evaluation only. All metrics are leave-last-out Recall@10 and NDCG@10 against held-out ratings. These approximate but do not measure what we ultimately care about — whether a user clicks or plays the recommended game. A production deployment of the routing rule would need an online A/B test to confirm that the offline ordering survives user behaviour.</w:t>
      </w:r>
    </w:p>
    <w:p w14:paraId="65D8FD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Cohort-scoped findings. Lessons 3–7 each filter the base cohort (e.g., 100%-overlap, source-rich/target-sparse, catalog-sharpened) to isolate a single variable. This is deliberate and methodologically sound, but it means absolute numbers across lessons are not directly comparable — only within-lesson model orderings should be read as conclusions.</w:t>
      </w:r>
    </w:p>
    <w:p w14:paraId="508D376D" w14:textId="77777777" w:rsidR="00C60C22" w:rsidRDefault="00000000">
      <w:pPr>
        <w:pStyle w:val="Heading2"/>
        <w:spacing w:before="240" w:after="160" w:line="324" w:lineRule="auto"/>
      </w:pPr>
      <w:r>
        <w:t>7.4 Recommendation Rows Design</w:t>
      </w:r>
    </w:p>
    <w:p w14:paraId="549432E7" w14:textId="77777777" w:rsidR="00C60C22" w:rsidRDefault="00000000">
      <w:pPr>
        <w:spacing w:after="120" w:line="324" w:lineRule="auto"/>
      </w:pPr>
      <w:r>
        <w:t>The front-end surfaces nine rows. The design deliberately matches each row to one lesson (or a small combination of lessons) so the final product mirrors the staircase of findings rather than hiding them behind a single generic model. Two rules shape the whole layout: (i) co-occurrence rerank (Lesson 8) is a universal post-processor, so it is applied to every ranking row except the pure popularity rows — where Lesson 8 showed negligible gain; (ii) Row 1 is routed by the user's game-history depth (Lesson 6 routing rule) because single-domain graph models collapse to popularity at true cold-start, so mapping-CDR takes the front page when game signal is missing.</w:t>
      </w:r>
    </w:p>
    <w:p w14:paraId="5471ADBF" w14:textId="77777777" w:rsidR="00C60C22" w:rsidRDefault="00000000">
      <w:pPr>
        <w:spacing w:after="120" w:line="324" w:lineRule="auto"/>
      </w:pPr>
      <w:r>
        <w:rPr>
          <w:i/>
          <w:sz w:val="18"/>
        </w:rPr>
        <w:t>Table 7: Nine-row recommendation layout — each row traces back to a specific lesson.</w:t>
      </w:r>
    </w:p>
    <w:tbl>
      <w:tblPr>
        <w:tblStyle w:val="TableNormal0"/>
        <w:tblW w:w="0" w:type="auto"/>
        <w:tblInd w:w="0" w:type="dxa"/>
        <w:tblLook w:val="04A0" w:firstRow="1" w:lastRow="0" w:firstColumn="1" w:lastColumn="0" w:noHBand="0" w:noVBand="1"/>
      </w:tblPr>
      <w:tblGrid>
        <w:gridCol w:w="1881"/>
        <w:gridCol w:w="1881"/>
        <w:gridCol w:w="1881"/>
        <w:gridCol w:w="1881"/>
        <w:gridCol w:w="1881"/>
      </w:tblGrid>
      <w:tr w:rsidR="00C60C22" w14:paraId="4D1B8CE7" w14:textId="77777777">
        <w:tc>
          <w:tcPr>
            <w:tcW w:w="1881" w:type="dxa"/>
            <w:shd w:val="clear" w:color="auto" w:fill="2E75B6"/>
          </w:tcPr>
          <w:p w14:paraId="28234C75" w14:textId="77777777" w:rsidR="00C60C22" w:rsidRDefault="00000000">
            <w:pPr>
              <w:spacing w:after="120" w:line="324" w:lineRule="auto"/>
            </w:pPr>
            <w:r>
              <w:rPr>
                <w:b/>
                <w:color w:val="FFFFFF"/>
                <w:sz w:val="18"/>
              </w:rPr>
              <w:t>Row</w:t>
            </w:r>
          </w:p>
        </w:tc>
        <w:tc>
          <w:tcPr>
            <w:tcW w:w="1881" w:type="dxa"/>
            <w:shd w:val="clear" w:color="auto" w:fill="2E75B6"/>
          </w:tcPr>
          <w:p w14:paraId="6D38F6B3" w14:textId="77777777" w:rsidR="00C60C22" w:rsidRDefault="00000000">
            <w:pPr>
              <w:spacing w:after="120" w:line="324" w:lineRule="auto"/>
            </w:pPr>
            <w:r>
              <w:rPr>
                <w:b/>
                <w:color w:val="FFFFFF"/>
                <w:sz w:val="18"/>
              </w:rPr>
              <w:t>Label</w:t>
            </w:r>
          </w:p>
        </w:tc>
        <w:tc>
          <w:tcPr>
            <w:tcW w:w="1881" w:type="dxa"/>
            <w:shd w:val="clear" w:color="auto" w:fill="2E75B6"/>
          </w:tcPr>
          <w:p w14:paraId="3D5D14D5" w14:textId="77777777" w:rsidR="00C60C22" w:rsidRDefault="00000000">
            <w:pPr>
              <w:spacing w:after="120" w:line="324" w:lineRule="auto"/>
            </w:pPr>
            <w:r>
              <w:rPr>
                <w:b/>
                <w:color w:val="FFFFFF"/>
                <w:sz w:val="18"/>
              </w:rPr>
              <w:t>Model / algorithm</w:t>
            </w:r>
          </w:p>
        </w:tc>
        <w:tc>
          <w:tcPr>
            <w:tcW w:w="1881" w:type="dxa"/>
            <w:shd w:val="clear" w:color="auto" w:fill="2E75B6"/>
          </w:tcPr>
          <w:p w14:paraId="36F5071F" w14:textId="77777777" w:rsidR="00C60C22" w:rsidRDefault="00000000">
            <w:pPr>
              <w:spacing w:after="120" w:line="324" w:lineRule="auto"/>
            </w:pPr>
            <w:r>
              <w:rPr>
                <w:b/>
                <w:color w:val="FFFFFF"/>
                <w:sz w:val="18"/>
              </w:rPr>
              <w:t>Routed by</w:t>
            </w:r>
          </w:p>
        </w:tc>
        <w:tc>
          <w:tcPr>
            <w:tcW w:w="1881" w:type="dxa"/>
            <w:shd w:val="clear" w:color="auto" w:fill="2E75B6"/>
          </w:tcPr>
          <w:p w14:paraId="711EFEA2" w14:textId="77777777" w:rsidR="00C60C22" w:rsidRDefault="00000000">
            <w:pPr>
              <w:spacing w:after="120" w:line="324" w:lineRule="auto"/>
            </w:pPr>
            <w:r>
              <w:rPr>
                <w:b/>
                <w:color w:val="FFFFFF"/>
                <w:sz w:val="18"/>
              </w:rPr>
              <w:t>Lesson rationale</w:t>
            </w:r>
          </w:p>
        </w:tc>
      </w:tr>
      <w:tr w:rsidR="00C60C22" w14:paraId="58A1F136" w14:textId="77777777">
        <w:tc>
          <w:tcPr>
            <w:tcW w:w="1881" w:type="dxa"/>
          </w:tcPr>
          <w:p w14:paraId="34F96418" w14:textId="77777777" w:rsidR="00C60C22" w:rsidRDefault="00000000">
            <w:pPr>
              <w:spacing w:after="120" w:line="324" w:lineRule="auto"/>
            </w:pPr>
            <w:r>
              <w:rPr>
                <w:b/>
                <w:sz w:val="18"/>
              </w:rPr>
              <w:t>1</w:t>
            </w:r>
          </w:p>
        </w:tc>
        <w:tc>
          <w:tcPr>
            <w:tcW w:w="1881" w:type="dxa"/>
          </w:tcPr>
          <w:p w14:paraId="5E81AEF4" w14:textId="77777777" w:rsidR="00C60C22" w:rsidRDefault="00000000">
            <w:pPr>
              <w:spacing w:after="120" w:line="324" w:lineRule="auto"/>
            </w:pPr>
            <w:r>
              <w:rPr>
                <w:sz w:val="18"/>
              </w:rPr>
              <w:t>Primary headline pick</w:t>
            </w:r>
          </w:p>
        </w:tc>
        <w:tc>
          <w:tcPr>
            <w:tcW w:w="1881" w:type="dxa"/>
          </w:tcPr>
          <w:p w14:paraId="3021B65C" w14:textId="77777777" w:rsidR="00C60C22" w:rsidRDefault="00000000">
            <w:pPr>
              <w:spacing w:after="120" w:line="324" w:lineRule="auto"/>
            </w:pPr>
            <w:r>
              <w:rPr>
                <w:sz w:val="18"/>
              </w:rPr>
              <w:t>EMCDR + cooc (cold) · PTUPCDR + cooc (one-shot) · LightGCN + cooc (warm)</w:t>
            </w:r>
          </w:p>
        </w:tc>
        <w:tc>
          <w:tcPr>
            <w:tcW w:w="1881" w:type="dxa"/>
          </w:tcPr>
          <w:p w14:paraId="185DBA98" w14:textId="77777777" w:rsidR="00C60C22" w:rsidRDefault="00000000">
            <w:pPr>
              <w:spacing w:after="120" w:line="324" w:lineRule="auto"/>
            </w:pPr>
            <w:r>
              <w:rPr>
                <w:sz w:val="18"/>
              </w:rPr>
              <w:t>Game-history depth</w:t>
            </w:r>
          </w:p>
        </w:tc>
        <w:tc>
          <w:tcPr>
            <w:tcW w:w="1881" w:type="dxa"/>
          </w:tcPr>
          <w:p w14:paraId="5ECC2485" w14:textId="77777777" w:rsidR="00C60C22" w:rsidRDefault="00000000">
            <w:pPr>
              <w:spacing w:after="120" w:line="324" w:lineRule="auto"/>
            </w:pPr>
            <w:r>
              <w:rPr>
                <w:sz w:val="18"/>
              </w:rPr>
              <w:t>L6 routing rule: cold users → mapping-CDR; L3 → LightGCN wins warm; L8 lift everywhere</w:t>
            </w:r>
          </w:p>
        </w:tc>
      </w:tr>
      <w:tr w:rsidR="00C60C22" w14:paraId="32CB9FA4" w14:textId="77777777">
        <w:tc>
          <w:tcPr>
            <w:tcW w:w="1881" w:type="dxa"/>
            <w:shd w:val="clear" w:color="auto" w:fill="F2F2F2"/>
          </w:tcPr>
          <w:p w14:paraId="57AF77DD" w14:textId="77777777" w:rsidR="00C60C22" w:rsidRDefault="00000000">
            <w:pPr>
              <w:spacing w:after="120" w:line="324" w:lineRule="auto"/>
            </w:pPr>
            <w:r>
              <w:rPr>
                <w:b/>
                <w:sz w:val="18"/>
              </w:rPr>
              <w:t>2</w:t>
            </w:r>
          </w:p>
        </w:tc>
        <w:tc>
          <w:tcPr>
            <w:tcW w:w="1881" w:type="dxa"/>
            <w:shd w:val="clear" w:color="auto" w:fill="F2F2F2"/>
          </w:tcPr>
          <w:p w14:paraId="01962B90" w14:textId="77777777" w:rsidR="00C60C22" w:rsidRDefault="00000000">
            <w:pPr>
              <w:spacing w:after="120" w:line="324" w:lineRule="auto"/>
            </w:pPr>
            <w:r>
              <w:rPr>
                <w:sz w:val="18"/>
              </w:rPr>
              <w:t>Secondary collaborative</w:t>
            </w:r>
          </w:p>
        </w:tc>
        <w:tc>
          <w:tcPr>
            <w:tcW w:w="1881" w:type="dxa"/>
            <w:shd w:val="clear" w:color="auto" w:fill="F2F2F2"/>
          </w:tcPr>
          <w:p w14:paraId="7911D15B" w14:textId="77777777" w:rsidR="00C60C22" w:rsidRDefault="00000000">
            <w:pPr>
              <w:spacing w:after="120" w:line="324" w:lineRule="auto"/>
            </w:pPr>
            <w:r>
              <w:rPr>
                <w:sz w:val="18"/>
              </w:rPr>
              <w:t>LightGCN + cooc (one-shot) · EMCDR + cooc (warm) · (skipped when cold)</w:t>
            </w:r>
          </w:p>
        </w:tc>
        <w:tc>
          <w:tcPr>
            <w:tcW w:w="1881" w:type="dxa"/>
            <w:shd w:val="clear" w:color="auto" w:fill="F2F2F2"/>
          </w:tcPr>
          <w:p w14:paraId="3B998A0B" w14:textId="77777777" w:rsidR="00C60C22" w:rsidRDefault="00000000">
            <w:pPr>
              <w:spacing w:after="120" w:line="324" w:lineRule="auto"/>
            </w:pPr>
            <w:r>
              <w:rPr>
                <w:sz w:val="18"/>
              </w:rPr>
              <w:t>Complement to Row 1</w:t>
            </w:r>
          </w:p>
        </w:tc>
        <w:tc>
          <w:tcPr>
            <w:tcW w:w="1881" w:type="dxa"/>
            <w:shd w:val="clear" w:color="auto" w:fill="F2F2F2"/>
          </w:tcPr>
          <w:p w14:paraId="0C51A24A" w14:textId="77777777" w:rsidR="00C60C22" w:rsidRDefault="00000000">
            <w:pPr>
              <w:spacing w:after="120" w:line="324" w:lineRule="auto"/>
            </w:pPr>
            <w:r>
              <w:rPr>
                <w:sz w:val="18"/>
              </w:rPr>
              <w:t>Visible contrast between two strong families; avoids CDR/CDR collision at cold-start</w:t>
            </w:r>
          </w:p>
        </w:tc>
      </w:tr>
      <w:tr w:rsidR="00C60C22" w14:paraId="00F18B81" w14:textId="77777777">
        <w:tc>
          <w:tcPr>
            <w:tcW w:w="1881" w:type="dxa"/>
          </w:tcPr>
          <w:p w14:paraId="48B8173E" w14:textId="77777777" w:rsidR="00C60C22" w:rsidRDefault="00000000">
            <w:pPr>
              <w:spacing w:after="120" w:line="324" w:lineRule="auto"/>
            </w:pPr>
            <w:r>
              <w:rPr>
                <w:b/>
                <w:sz w:val="18"/>
              </w:rPr>
              <w:t>3</w:t>
            </w:r>
          </w:p>
        </w:tc>
        <w:tc>
          <w:tcPr>
            <w:tcW w:w="1881" w:type="dxa"/>
          </w:tcPr>
          <w:p w14:paraId="596075FF" w14:textId="77777777" w:rsidR="00C60C22" w:rsidRDefault="00000000">
            <w:pPr>
              <w:spacing w:after="120" w:line="324" w:lineRule="auto"/>
            </w:pPr>
            <w:r>
              <w:rPr>
                <w:sz w:val="18"/>
              </w:rPr>
              <w:t>Cross-domain explainable</w:t>
            </w:r>
          </w:p>
        </w:tc>
        <w:tc>
          <w:tcPr>
            <w:tcW w:w="1881" w:type="dxa"/>
          </w:tcPr>
          <w:p w14:paraId="649B949F" w14:textId="77777777" w:rsidR="00C60C22" w:rsidRDefault="00000000">
            <w:pPr>
              <w:spacing w:after="120" w:line="324" w:lineRule="auto"/>
            </w:pPr>
            <w:r>
              <w:rPr>
                <w:sz w:val="18"/>
              </w:rPr>
              <w:t>Co-occurrence standalone</w:t>
            </w:r>
          </w:p>
        </w:tc>
        <w:tc>
          <w:tcPr>
            <w:tcW w:w="1881" w:type="dxa"/>
          </w:tcPr>
          <w:p w14:paraId="3FA18190" w14:textId="77777777" w:rsidR="00C60C22" w:rsidRDefault="00000000">
            <w:pPr>
              <w:spacing w:after="120" w:line="324" w:lineRule="auto"/>
            </w:pPr>
            <w:r>
              <w:rPr>
                <w:sz w:val="18"/>
              </w:rPr>
              <w:t>Constant row</w:t>
            </w:r>
          </w:p>
        </w:tc>
        <w:tc>
          <w:tcPr>
            <w:tcW w:w="1881" w:type="dxa"/>
          </w:tcPr>
          <w:p w14:paraId="31F43712" w14:textId="77777777" w:rsidR="00C60C22" w:rsidRDefault="00000000">
            <w:pPr>
              <w:spacing w:after="120" w:line="324" w:lineRule="auto"/>
            </w:pPr>
            <w:r>
              <w:rPr>
                <w:sz w:val="18"/>
              </w:rPr>
              <w:t>L8: training-free, explainable ('because you liked X'), instant refresh</w:t>
            </w:r>
          </w:p>
        </w:tc>
      </w:tr>
      <w:tr w:rsidR="00C60C22" w14:paraId="0CDE483D" w14:textId="77777777">
        <w:tc>
          <w:tcPr>
            <w:tcW w:w="1881" w:type="dxa"/>
            <w:shd w:val="clear" w:color="auto" w:fill="F2F2F2"/>
          </w:tcPr>
          <w:p w14:paraId="4D817ECC" w14:textId="77777777" w:rsidR="00C60C22" w:rsidRDefault="00000000">
            <w:pPr>
              <w:spacing w:after="120" w:line="324" w:lineRule="auto"/>
            </w:pPr>
            <w:r>
              <w:rPr>
                <w:b/>
                <w:sz w:val="18"/>
              </w:rPr>
              <w:t>4</w:t>
            </w:r>
          </w:p>
        </w:tc>
        <w:tc>
          <w:tcPr>
            <w:tcW w:w="1881" w:type="dxa"/>
            <w:shd w:val="clear" w:color="auto" w:fill="F2F2F2"/>
          </w:tcPr>
          <w:p w14:paraId="7BEA3505" w14:textId="77777777" w:rsidR="00C60C22" w:rsidRDefault="00000000">
            <w:pPr>
              <w:spacing w:after="120" w:line="324" w:lineRule="auto"/>
            </w:pPr>
            <w:r>
              <w:rPr>
                <w:sz w:val="18"/>
              </w:rPr>
              <w:t>Hidden Gems (games)</w:t>
            </w:r>
          </w:p>
        </w:tc>
        <w:tc>
          <w:tcPr>
            <w:tcW w:w="1881" w:type="dxa"/>
            <w:shd w:val="clear" w:color="auto" w:fill="F2F2F2"/>
          </w:tcPr>
          <w:p w14:paraId="6300EF1C" w14:textId="77777777" w:rsidR="00C60C22" w:rsidRDefault="00000000">
            <w:pPr>
              <w:spacing w:after="120" w:line="324" w:lineRule="auto"/>
            </w:pPr>
            <w:r>
              <w:rPr>
                <w:sz w:val="18"/>
              </w:rPr>
              <w:t>SBERT-CDR on bottom-50% popularity games + cooc</w:t>
            </w:r>
          </w:p>
        </w:tc>
        <w:tc>
          <w:tcPr>
            <w:tcW w:w="1881" w:type="dxa"/>
            <w:shd w:val="clear" w:color="auto" w:fill="F2F2F2"/>
          </w:tcPr>
          <w:p w14:paraId="35E1ED66" w14:textId="77777777" w:rsidR="00C60C22" w:rsidRDefault="00000000">
            <w:pPr>
              <w:spacing w:after="120" w:line="324" w:lineRule="auto"/>
            </w:pPr>
            <w:r>
              <w:rPr>
                <w:sz w:val="18"/>
              </w:rPr>
              <w:t>Constant row, niche-filtered</w:t>
            </w:r>
          </w:p>
        </w:tc>
        <w:tc>
          <w:tcPr>
            <w:tcW w:w="1881" w:type="dxa"/>
            <w:shd w:val="clear" w:color="auto" w:fill="F2F2F2"/>
          </w:tcPr>
          <w:p w14:paraId="375D2EEF" w14:textId="77777777" w:rsidR="00C60C22" w:rsidRDefault="00000000">
            <w:pPr>
              <w:spacing w:after="120" w:line="324" w:lineRule="auto"/>
            </w:pPr>
            <w:r>
              <w:rPr>
                <w:sz w:val="18"/>
              </w:rPr>
              <w:t>L7: SBERT wins 11× on niche; filter enforces the validated operating range</w:t>
            </w:r>
          </w:p>
        </w:tc>
      </w:tr>
      <w:tr w:rsidR="00C60C22" w14:paraId="0FF9E67F" w14:textId="77777777">
        <w:tc>
          <w:tcPr>
            <w:tcW w:w="1881" w:type="dxa"/>
          </w:tcPr>
          <w:p w14:paraId="46861597" w14:textId="77777777" w:rsidR="00C60C22" w:rsidRDefault="00000000">
            <w:pPr>
              <w:spacing w:after="120" w:line="324" w:lineRule="auto"/>
            </w:pPr>
            <w:r>
              <w:rPr>
                <w:b/>
                <w:sz w:val="18"/>
              </w:rPr>
              <w:lastRenderedPageBreak/>
              <w:t>5</w:t>
            </w:r>
          </w:p>
        </w:tc>
        <w:tc>
          <w:tcPr>
            <w:tcW w:w="1881" w:type="dxa"/>
          </w:tcPr>
          <w:p w14:paraId="20F71BFF" w14:textId="77777777" w:rsidR="00C60C22" w:rsidRDefault="00000000">
            <w:pPr>
              <w:spacing w:after="120" w:line="324" w:lineRule="auto"/>
            </w:pPr>
            <w:r>
              <w:rPr>
                <w:sz w:val="18"/>
              </w:rPr>
              <w:t>Similar movies (content)</w:t>
            </w:r>
          </w:p>
        </w:tc>
        <w:tc>
          <w:tcPr>
            <w:tcW w:w="1881" w:type="dxa"/>
          </w:tcPr>
          <w:p w14:paraId="42F9CCD2" w14:textId="77777777" w:rsidR="00C60C22" w:rsidRDefault="00000000">
            <w:pPr>
              <w:spacing w:after="120" w:line="324" w:lineRule="auto"/>
            </w:pPr>
            <w:r>
              <w:rPr>
                <w:sz w:val="18"/>
              </w:rPr>
              <w:t>SBERT on movie profile</w:t>
            </w:r>
          </w:p>
        </w:tc>
        <w:tc>
          <w:tcPr>
            <w:tcW w:w="1881" w:type="dxa"/>
          </w:tcPr>
          <w:p w14:paraId="04335D33" w14:textId="77777777" w:rsidR="00C60C22" w:rsidRDefault="00000000">
            <w:pPr>
              <w:spacing w:after="120" w:line="324" w:lineRule="auto"/>
            </w:pPr>
            <w:r>
              <w:rPr>
                <w:sz w:val="18"/>
              </w:rPr>
              <w:t>Constant row</w:t>
            </w:r>
          </w:p>
        </w:tc>
        <w:tc>
          <w:tcPr>
            <w:tcW w:w="1881" w:type="dxa"/>
          </w:tcPr>
          <w:p w14:paraId="418B16E3" w14:textId="77777777" w:rsidR="00C60C22" w:rsidRDefault="00000000">
            <w:pPr>
              <w:spacing w:after="120" w:line="324" w:lineRule="auto"/>
            </w:pPr>
            <w:r>
              <w:rPr>
                <w:sz w:val="18"/>
              </w:rPr>
              <w:t>In-domain content similarity — same semantic bridge as Row 4, opposite direction</w:t>
            </w:r>
          </w:p>
        </w:tc>
      </w:tr>
      <w:tr w:rsidR="00C60C22" w14:paraId="25DA4A24" w14:textId="77777777">
        <w:tc>
          <w:tcPr>
            <w:tcW w:w="1881" w:type="dxa"/>
            <w:shd w:val="clear" w:color="auto" w:fill="F2F2F2"/>
          </w:tcPr>
          <w:p w14:paraId="010C5C6C" w14:textId="77777777" w:rsidR="00C60C22" w:rsidRDefault="00000000">
            <w:pPr>
              <w:spacing w:after="120" w:line="324" w:lineRule="auto"/>
            </w:pPr>
            <w:r>
              <w:rPr>
                <w:b/>
                <w:sz w:val="18"/>
              </w:rPr>
              <w:t>6</w:t>
            </w:r>
          </w:p>
        </w:tc>
        <w:tc>
          <w:tcPr>
            <w:tcW w:w="1881" w:type="dxa"/>
            <w:shd w:val="clear" w:color="auto" w:fill="F2F2F2"/>
          </w:tcPr>
          <w:p w14:paraId="52425D3F" w14:textId="77777777" w:rsidR="00C60C22" w:rsidRDefault="00000000">
            <w:pPr>
              <w:spacing w:after="120" w:line="324" w:lineRule="auto"/>
            </w:pPr>
            <w:r>
              <w:rPr>
                <w:sz w:val="18"/>
              </w:rPr>
              <w:t>Similar movies (collab)</w:t>
            </w:r>
          </w:p>
        </w:tc>
        <w:tc>
          <w:tcPr>
            <w:tcW w:w="1881" w:type="dxa"/>
            <w:shd w:val="clear" w:color="auto" w:fill="F2F2F2"/>
          </w:tcPr>
          <w:p w14:paraId="570014B3" w14:textId="77777777" w:rsidR="00C60C22" w:rsidRDefault="00000000">
            <w:pPr>
              <w:spacing w:after="120" w:line="324" w:lineRule="auto"/>
            </w:pPr>
            <w:r>
              <w:rPr>
                <w:sz w:val="18"/>
              </w:rPr>
              <w:t>LightGCN movies + reverse cooc</w:t>
            </w:r>
          </w:p>
        </w:tc>
        <w:tc>
          <w:tcPr>
            <w:tcW w:w="1881" w:type="dxa"/>
            <w:shd w:val="clear" w:color="auto" w:fill="F2F2F2"/>
          </w:tcPr>
          <w:p w14:paraId="39270207" w14:textId="77777777" w:rsidR="00C60C22" w:rsidRDefault="00000000">
            <w:pPr>
              <w:spacing w:after="120" w:line="324" w:lineRule="auto"/>
            </w:pPr>
            <w:r>
              <w:rPr>
                <w:sz w:val="18"/>
              </w:rPr>
              <w:t>Constant row</w:t>
            </w:r>
          </w:p>
        </w:tc>
        <w:tc>
          <w:tcPr>
            <w:tcW w:w="1881" w:type="dxa"/>
            <w:shd w:val="clear" w:color="auto" w:fill="F2F2F2"/>
          </w:tcPr>
          <w:p w14:paraId="288588B5" w14:textId="77777777" w:rsidR="00C60C22" w:rsidRDefault="00000000">
            <w:pPr>
              <w:spacing w:after="120" w:line="324" w:lineRule="auto"/>
            </w:pPr>
            <w:r>
              <w:rPr>
                <w:sz w:val="18"/>
              </w:rPr>
              <w:t>L2+L8: LightGCN is the single-domain champion; reverse cooc adds game-to-movie bridge</w:t>
            </w:r>
          </w:p>
        </w:tc>
      </w:tr>
      <w:tr w:rsidR="00C60C22" w14:paraId="250B1FBF" w14:textId="77777777">
        <w:tc>
          <w:tcPr>
            <w:tcW w:w="1881" w:type="dxa"/>
          </w:tcPr>
          <w:p w14:paraId="425B1E5F" w14:textId="77777777" w:rsidR="00C60C22" w:rsidRDefault="00000000">
            <w:pPr>
              <w:spacing w:after="120" w:line="324" w:lineRule="auto"/>
            </w:pPr>
            <w:r>
              <w:rPr>
                <w:b/>
                <w:sz w:val="18"/>
              </w:rPr>
              <w:t>7</w:t>
            </w:r>
          </w:p>
        </w:tc>
        <w:tc>
          <w:tcPr>
            <w:tcW w:w="1881" w:type="dxa"/>
          </w:tcPr>
          <w:p w14:paraId="3CA8ED71" w14:textId="77777777" w:rsidR="00C60C22" w:rsidRDefault="00000000">
            <w:pPr>
              <w:spacing w:after="120" w:line="324" w:lineRule="auto"/>
            </w:pPr>
            <w:r>
              <w:rPr>
                <w:sz w:val="18"/>
              </w:rPr>
              <w:t>Cross-domain reverse</w:t>
            </w:r>
          </w:p>
        </w:tc>
        <w:tc>
          <w:tcPr>
            <w:tcW w:w="1881" w:type="dxa"/>
          </w:tcPr>
          <w:p w14:paraId="37A9D41B" w14:textId="77777777" w:rsidR="00C60C22" w:rsidRDefault="00000000">
            <w:pPr>
              <w:spacing w:after="120" w:line="324" w:lineRule="auto"/>
            </w:pPr>
            <w:r>
              <w:rPr>
                <w:sz w:val="18"/>
              </w:rPr>
              <w:t>Reverse co-occurrence standalone</w:t>
            </w:r>
          </w:p>
        </w:tc>
        <w:tc>
          <w:tcPr>
            <w:tcW w:w="1881" w:type="dxa"/>
          </w:tcPr>
          <w:p w14:paraId="093AD14D" w14:textId="77777777" w:rsidR="00C60C22" w:rsidRDefault="00000000">
            <w:pPr>
              <w:spacing w:after="120" w:line="324" w:lineRule="auto"/>
            </w:pPr>
            <w:r>
              <w:rPr>
                <w:sz w:val="18"/>
              </w:rPr>
              <w:t>Constant row</w:t>
            </w:r>
          </w:p>
        </w:tc>
        <w:tc>
          <w:tcPr>
            <w:tcW w:w="1881" w:type="dxa"/>
          </w:tcPr>
          <w:p w14:paraId="307C2102" w14:textId="77777777" w:rsidR="00C60C22" w:rsidRDefault="00000000">
            <w:pPr>
              <w:spacing w:after="120" w:line="324" w:lineRule="auto"/>
            </w:pPr>
            <w:r>
              <w:rPr>
                <w:sz w:val="18"/>
              </w:rPr>
              <w:t>Mirror of Row 3 for games→movies; explainable and training-free</w:t>
            </w:r>
          </w:p>
        </w:tc>
      </w:tr>
      <w:tr w:rsidR="00C60C22" w14:paraId="58020987" w14:textId="77777777">
        <w:tc>
          <w:tcPr>
            <w:tcW w:w="1881" w:type="dxa"/>
            <w:shd w:val="clear" w:color="auto" w:fill="F2F2F2"/>
          </w:tcPr>
          <w:p w14:paraId="36CDA9F2" w14:textId="77777777" w:rsidR="00C60C22" w:rsidRDefault="00000000">
            <w:pPr>
              <w:spacing w:after="120" w:line="324" w:lineRule="auto"/>
            </w:pPr>
            <w:r>
              <w:rPr>
                <w:b/>
                <w:sz w:val="18"/>
              </w:rPr>
              <w:t>8</w:t>
            </w:r>
          </w:p>
        </w:tc>
        <w:tc>
          <w:tcPr>
            <w:tcW w:w="1881" w:type="dxa"/>
            <w:shd w:val="clear" w:color="auto" w:fill="F2F2F2"/>
          </w:tcPr>
          <w:p w14:paraId="0AFD6E4D" w14:textId="77777777" w:rsidR="00C60C22" w:rsidRDefault="00000000">
            <w:pPr>
              <w:spacing w:after="120" w:line="324" w:lineRule="auto"/>
            </w:pPr>
            <w:r>
              <w:rPr>
                <w:sz w:val="18"/>
              </w:rPr>
              <w:t>Trending games</w:t>
            </w:r>
          </w:p>
        </w:tc>
        <w:tc>
          <w:tcPr>
            <w:tcW w:w="1881" w:type="dxa"/>
            <w:shd w:val="clear" w:color="auto" w:fill="F2F2F2"/>
          </w:tcPr>
          <w:p w14:paraId="377D3B18" w14:textId="77777777" w:rsidR="00C60C22" w:rsidRDefault="00000000">
            <w:pPr>
              <w:spacing w:after="120" w:line="324" w:lineRule="auto"/>
            </w:pPr>
            <w:r>
              <w:rPr>
                <w:sz w:val="18"/>
              </w:rPr>
              <w:t>Popularity (global counts)</w:t>
            </w:r>
          </w:p>
        </w:tc>
        <w:tc>
          <w:tcPr>
            <w:tcW w:w="1881" w:type="dxa"/>
            <w:shd w:val="clear" w:color="auto" w:fill="F2F2F2"/>
          </w:tcPr>
          <w:p w14:paraId="5A50C742" w14:textId="77777777" w:rsidR="00C60C22" w:rsidRDefault="00000000">
            <w:pPr>
              <w:spacing w:after="120" w:line="324" w:lineRule="auto"/>
            </w:pPr>
            <w:r>
              <w:rPr>
                <w:sz w:val="18"/>
              </w:rPr>
              <w:t>Constant row</w:t>
            </w:r>
          </w:p>
        </w:tc>
        <w:tc>
          <w:tcPr>
            <w:tcW w:w="1881" w:type="dxa"/>
            <w:shd w:val="clear" w:color="auto" w:fill="F2F2F2"/>
          </w:tcPr>
          <w:p w14:paraId="67F90A03" w14:textId="77777777" w:rsidR="00C60C22" w:rsidRDefault="00000000">
            <w:pPr>
              <w:spacing w:after="120" w:line="324" w:lineRule="auto"/>
            </w:pPr>
            <w:r>
              <w:rPr>
                <w:sz w:val="18"/>
              </w:rPr>
              <w:t>L6: Popularity tops true cold-start; safe anchor row at the bottom of the page</w:t>
            </w:r>
          </w:p>
        </w:tc>
      </w:tr>
      <w:tr w:rsidR="00C60C22" w14:paraId="4D913452" w14:textId="77777777">
        <w:tc>
          <w:tcPr>
            <w:tcW w:w="1881" w:type="dxa"/>
          </w:tcPr>
          <w:p w14:paraId="61346438" w14:textId="77777777" w:rsidR="00C60C22" w:rsidRDefault="00000000">
            <w:pPr>
              <w:spacing w:after="120" w:line="324" w:lineRule="auto"/>
            </w:pPr>
            <w:r>
              <w:rPr>
                <w:b/>
                <w:sz w:val="18"/>
              </w:rPr>
              <w:t>9</w:t>
            </w:r>
          </w:p>
        </w:tc>
        <w:tc>
          <w:tcPr>
            <w:tcW w:w="1881" w:type="dxa"/>
          </w:tcPr>
          <w:p w14:paraId="31F5B2ED" w14:textId="77777777" w:rsidR="00C60C22" w:rsidRDefault="00000000">
            <w:pPr>
              <w:spacing w:after="120" w:line="324" w:lineRule="auto"/>
            </w:pPr>
            <w:r>
              <w:rPr>
                <w:sz w:val="18"/>
              </w:rPr>
              <w:t>Trending movies</w:t>
            </w:r>
          </w:p>
        </w:tc>
        <w:tc>
          <w:tcPr>
            <w:tcW w:w="1881" w:type="dxa"/>
          </w:tcPr>
          <w:p w14:paraId="39DE0E3B" w14:textId="77777777" w:rsidR="00C60C22" w:rsidRDefault="00000000">
            <w:pPr>
              <w:spacing w:after="120" w:line="324" w:lineRule="auto"/>
            </w:pPr>
            <w:r>
              <w:rPr>
                <w:sz w:val="18"/>
              </w:rPr>
              <w:t>Popularity (global counts)</w:t>
            </w:r>
          </w:p>
        </w:tc>
        <w:tc>
          <w:tcPr>
            <w:tcW w:w="1881" w:type="dxa"/>
          </w:tcPr>
          <w:p w14:paraId="16D4C900" w14:textId="77777777" w:rsidR="00C60C22" w:rsidRDefault="00000000">
            <w:pPr>
              <w:spacing w:after="120" w:line="324" w:lineRule="auto"/>
            </w:pPr>
            <w:r>
              <w:rPr>
                <w:sz w:val="18"/>
              </w:rPr>
              <w:t>Constant row</w:t>
            </w:r>
          </w:p>
        </w:tc>
        <w:tc>
          <w:tcPr>
            <w:tcW w:w="1881" w:type="dxa"/>
          </w:tcPr>
          <w:p w14:paraId="7C2FB720" w14:textId="77777777" w:rsidR="00C60C22" w:rsidRDefault="00000000">
            <w:pPr>
              <w:spacing w:after="120" w:line="324" w:lineRule="auto"/>
            </w:pPr>
            <w:r>
              <w:rPr>
                <w:sz w:val="18"/>
              </w:rPr>
              <w:t>Symmetric anchor for the movie side</w:t>
            </w:r>
          </w:p>
        </w:tc>
      </w:tr>
    </w:tbl>
    <w:p w14:paraId="569104A1" w14:textId="77777777" w:rsidR="00C60C22" w:rsidRDefault="00000000">
      <w:pPr>
        <w:spacing w:after="120" w:line="324" w:lineRule="auto"/>
      </w:pPr>
      <w:r>
        <w:t>A few design notes worth recording. Row 4's filter to bottom-50% popularity is deliberate: Lesson 7 validated SBERT-CDR specifically on the niche subgroup, so using it as a full-catalog ranker would overstate its reach. The SBERT profile uses movies only — a pure SBERT-CDR signal — to keep the cross-domain bridge honest; mixing in game embeddings would drift it back toward in-domain similarity and dilute the cross-domain effect that Lesson 7 measured. Finally, rows 6 and 7 are reverse-direction mirrors of rows 3 and 1 respectively, so the UI is symmetric: every game row has a movie counterpart that reuses the same lesson-backed machinery.</w:t>
      </w:r>
    </w:p>
    <w:p w14:paraId="146B8256"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 System Design</w:t>
      </w:r>
    </w:p>
    <w:p w14:paraId="7B73DB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26BEA1A3"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8.1 High-Level Architecture</w:t>
      </w:r>
    </w:p>
    <w:p w14:paraId="7A4BA9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14:paraId="43ADCC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F88EE54" wp14:editId="032BE250">
            <wp:extent cx="5486400" cy="286413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5486400" cy="2864136"/>
                    </a:xfrm>
                    <a:prstGeom prst="rect">
                      <a:avLst/>
                    </a:prstGeom>
                    <a:ln/>
                  </pic:spPr>
                </pic:pic>
              </a:graphicData>
            </a:graphic>
          </wp:inline>
        </w:drawing>
      </w:r>
    </w:p>
    <w:p w14:paraId="7D9690C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32: High-level system architecture — three-tier design with in-memory embedding store</w:t>
      </w:r>
    </w:p>
    <w:p w14:paraId="143D77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14:paraId="152580C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8.2 Recommendation Flow</w:t>
      </w:r>
    </w:p>
    <w:p w14:paraId="5AC9B34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14:paraId="06EF56A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595C9B7" wp14:editId="1E68433B">
            <wp:extent cx="5486400" cy="41778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5486400" cy="4177888"/>
                    </a:xfrm>
                    <a:prstGeom prst="rect">
                      <a:avLst/>
                    </a:prstGeom>
                    <a:ln/>
                  </pic:spPr>
                </pic:pic>
              </a:graphicData>
            </a:graphic>
          </wp:inline>
        </w:drawing>
      </w:r>
    </w:p>
    <w:p w14:paraId="26DB1BE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33: Recommendation flow — 9 parallel rows using different model paradigms</w:t>
      </w:r>
    </w:p>
    <w:p w14:paraId="3ECB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14:paraId="18F7064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8.3 Frontend Architecture</w:t>
      </w:r>
    </w:p>
    <w:p w14:paraId="57B8386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14:paraId="51583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0E7FF6F" wp14:editId="7F3F065C">
            <wp:extent cx="5486400" cy="267629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5"/>
                    <a:srcRect/>
                    <a:stretch>
                      <a:fillRect/>
                    </a:stretch>
                  </pic:blipFill>
                  <pic:spPr>
                    <a:xfrm>
                      <a:off x="0" y="0"/>
                      <a:ext cx="5486400" cy="2676292"/>
                    </a:xfrm>
                    <a:prstGeom prst="rect">
                      <a:avLst/>
                    </a:prstGeom>
                    <a:ln/>
                  </pic:spPr>
                </pic:pic>
              </a:graphicData>
            </a:graphic>
          </wp:inline>
        </w:drawing>
      </w:r>
    </w:p>
    <w:p w14:paraId="415FB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34: Frontend architecture — page structure and domain visual language</w:t>
      </w:r>
    </w:p>
    <w:p w14:paraId="10EB4DE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8.4 Refresh Architecture</w:t>
      </w:r>
    </w:p>
    <w:p w14:paraId="2E18B6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14:paraId="051BDBE1"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8.5 Key Design Decisions</w:t>
      </w:r>
    </w:p>
    <w:tbl>
      <w:tblPr>
        <w:tblStyle w:val="afff5"/>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C60C22" w14:paraId="5534D03F" w14:textId="77777777">
        <w:trPr>
          <w:jc w:val="center"/>
        </w:trPr>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18CEFD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57E05B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C60C22" w14:paraId="4EAF7DCE"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5DF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FFBA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C60C22" w14:paraId="016B081F"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7A2E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5365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C60C22" w14:paraId="5CA6A7C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2234E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856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C60C22" w14:paraId="75EC0E7B"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07EA1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5082E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C60C22" w14:paraId="70C9ADC3"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F47C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rows (5 game + 4 movie)</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1A8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demonstrates a different paradigm: collaborative, CDR, content, behavioral, popularity — the full research spectrum.</w:t>
            </w:r>
          </w:p>
        </w:tc>
      </w:tr>
      <w:tr w:rsidR="00C60C22" w14:paraId="3223F0A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1BF7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FEEF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27D3F0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08C753B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jQuery SPA over Next.js</w:t>
      </w:r>
    </w:p>
    <w:p w14:paraId="61E41B4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06F8482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In-memory embedding store instead of a vector DB</w:t>
      </w:r>
    </w:p>
    <w:p w14:paraId="7DF562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49CBE50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SQLite for users and ratings</w:t>
      </w:r>
    </w:p>
    <w:p w14:paraId="2E1E03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50773EA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Server-side row assembly</w:t>
      </w:r>
    </w:p>
    <w:p w14:paraId="09AC3B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14:paraId="2F82EA94"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Fixed universal co-occurrence blend (λ = 0.05)</w:t>
      </w:r>
    </w:p>
    <w:p w14:paraId="4C6E0B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34BE0D9E"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Offline training, online serving</w:t>
      </w:r>
    </w:p>
    <w:p w14:paraId="7A1D47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5055A8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8.6 Model Selection Rationale</w:t>
      </w:r>
    </w:p>
    <w:p w14:paraId="013D62D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14:paraId="2B05791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5: Nine-row demo overview — each row maps to the lesson that motivated it.</w:t>
      </w:r>
    </w:p>
    <w:tbl>
      <w:tblPr>
        <w:tblStyle w:val="afff6"/>
        <w:tblW w:w="9404"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51"/>
        <w:gridCol w:w="2351"/>
        <w:gridCol w:w="2351"/>
        <w:gridCol w:w="2351"/>
      </w:tblGrid>
      <w:tr w:rsidR="00C60C22" w14:paraId="5F65EDA1"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026C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w:t>
            </w:r>
          </w:p>
        </w:tc>
        <w:tc>
          <w:tcPr>
            <w:tcW w:w="2351" w:type="dxa"/>
          </w:tcPr>
          <w:p w14:paraId="5405679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Row</w:t>
            </w:r>
          </w:p>
        </w:tc>
        <w:tc>
          <w:tcPr>
            <w:tcW w:w="2351" w:type="dxa"/>
          </w:tcPr>
          <w:p w14:paraId="6E6529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2351" w:type="dxa"/>
          </w:tcPr>
          <w:p w14:paraId="3A014FFA"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Lesson motivating it</w:t>
            </w:r>
          </w:p>
        </w:tc>
      </w:tr>
      <w:tr w:rsidR="00C60C22" w14:paraId="59EA9DF8"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5A22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1</w:t>
            </w:r>
          </w:p>
        </w:tc>
        <w:tc>
          <w:tcPr>
            <w:tcW w:w="2351" w:type="dxa"/>
          </w:tcPr>
          <w:p w14:paraId="70DA95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Top Picks (primary)</w:t>
            </w:r>
          </w:p>
        </w:tc>
        <w:tc>
          <w:tcPr>
            <w:tcW w:w="2351" w:type="dxa"/>
          </w:tcPr>
          <w:p w14:paraId="0CAE3A4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 / EMCDR / Popularity (routed)</w:t>
            </w:r>
          </w:p>
        </w:tc>
        <w:tc>
          <w:tcPr>
            <w:tcW w:w="2351" w:type="dxa"/>
          </w:tcPr>
          <w:p w14:paraId="12FEF43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cold-start + L3 overlap</w:t>
            </w:r>
          </w:p>
        </w:tc>
      </w:tr>
      <w:tr w:rsidR="00C60C22" w14:paraId="4953FE59"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BB06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2</w:t>
            </w:r>
          </w:p>
        </w:tc>
        <w:tc>
          <w:tcPr>
            <w:tcW w:w="2351" w:type="dxa"/>
          </w:tcPr>
          <w:p w14:paraId="59EF09E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Also Try (complementary)</w:t>
            </w:r>
          </w:p>
        </w:tc>
        <w:tc>
          <w:tcPr>
            <w:tcW w:w="2351" w:type="dxa"/>
          </w:tcPr>
          <w:p w14:paraId="425AC1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PTUPCDR or SBERT-CDR</w:t>
            </w:r>
          </w:p>
        </w:tc>
        <w:tc>
          <w:tcPr>
            <w:tcW w:w="2351" w:type="dxa"/>
          </w:tcPr>
          <w:p w14:paraId="2EB0A2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L4 sparse-target / L7 niche</w:t>
            </w:r>
          </w:p>
        </w:tc>
      </w:tr>
      <w:tr w:rsidR="00C60C22" w14:paraId="76184389"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51728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3</w:t>
            </w:r>
          </w:p>
        </w:tc>
        <w:tc>
          <w:tcPr>
            <w:tcW w:w="2351" w:type="dxa"/>
          </w:tcPr>
          <w:p w14:paraId="6DA26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Movie-Fans Also Played (cooc)</w:t>
            </w:r>
          </w:p>
        </w:tc>
        <w:tc>
          <w:tcPr>
            <w:tcW w:w="2351" w:type="dxa"/>
          </w:tcPr>
          <w:p w14:paraId="0B628CC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Co-occurrence rerank on popularity</w:t>
            </w:r>
          </w:p>
        </w:tc>
        <w:tc>
          <w:tcPr>
            <w:tcW w:w="2351" w:type="dxa"/>
          </w:tcPr>
          <w:p w14:paraId="5EBF908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universal rerank</w:t>
            </w:r>
          </w:p>
        </w:tc>
      </w:tr>
      <w:tr w:rsidR="00C60C22" w14:paraId="392D5512"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3DD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4</w:t>
            </w:r>
          </w:p>
        </w:tc>
        <w:tc>
          <w:tcPr>
            <w:tcW w:w="2351" w:type="dxa"/>
          </w:tcPr>
          <w:p w14:paraId="0FAE8B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Hidden Gems</w:t>
            </w:r>
          </w:p>
        </w:tc>
        <w:tc>
          <w:tcPr>
            <w:tcW w:w="2351" w:type="dxa"/>
          </w:tcPr>
          <w:p w14:paraId="361939A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SBERT-CDR on bottom-50% popularity items</w:t>
            </w:r>
          </w:p>
        </w:tc>
        <w:tc>
          <w:tcPr>
            <w:tcW w:w="2351" w:type="dxa"/>
          </w:tcPr>
          <w:p w14:paraId="00C5A3E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L7 niche subgroup</w:t>
            </w:r>
          </w:p>
        </w:tc>
      </w:tr>
      <w:tr w:rsidR="00C60C22" w14:paraId="554E659F"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255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5</w:t>
            </w:r>
          </w:p>
        </w:tc>
        <w:tc>
          <w:tcPr>
            <w:tcW w:w="2351" w:type="dxa"/>
          </w:tcPr>
          <w:p w14:paraId="0238E98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Because You Liked (movies)</w:t>
            </w:r>
          </w:p>
        </w:tc>
        <w:tc>
          <w:tcPr>
            <w:tcW w:w="2351" w:type="dxa"/>
          </w:tcPr>
          <w:p w14:paraId="5C63FEE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 item-item</w:t>
            </w:r>
          </w:p>
        </w:tc>
        <w:tc>
          <w:tcPr>
            <w:tcW w:w="2351" w:type="dxa"/>
          </w:tcPr>
          <w:p w14:paraId="03364DA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L1 content baseline</w:t>
            </w:r>
          </w:p>
        </w:tc>
      </w:tr>
      <w:tr w:rsidR="00C60C22" w14:paraId="2A06B3A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B9D70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6</w:t>
            </w:r>
          </w:p>
        </w:tc>
        <w:tc>
          <w:tcPr>
            <w:tcW w:w="2351" w:type="dxa"/>
          </w:tcPr>
          <w:p w14:paraId="21E0E47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More Like Your Movies</w:t>
            </w:r>
          </w:p>
        </w:tc>
        <w:tc>
          <w:tcPr>
            <w:tcW w:w="2351" w:type="dxa"/>
          </w:tcPr>
          <w:p w14:paraId="4BAA5E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LightGCN-Movies</w:t>
            </w:r>
          </w:p>
        </w:tc>
        <w:tc>
          <w:tcPr>
            <w:tcW w:w="2351" w:type="dxa"/>
          </w:tcPr>
          <w:p w14:paraId="61FC604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L2 in-domain backbone</w:t>
            </w:r>
          </w:p>
        </w:tc>
      </w:tr>
      <w:tr w:rsidR="00C60C22" w14:paraId="62B3A49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26CD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7</w:t>
            </w:r>
          </w:p>
        </w:tc>
        <w:tc>
          <w:tcPr>
            <w:tcW w:w="2351" w:type="dxa"/>
          </w:tcPr>
          <w:p w14:paraId="1195858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Games Movie-Fans Play</w:t>
            </w:r>
          </w:p>
        </w:tc>
        <w:tc>
          <w:tcPr>
            <w:tcW w:w="2351" w:type="dxa"/>
          </w:tcPr>
          <w:p w14:paraId="3031488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Reverse co-occurrence</w:t>
            </w:r>
          </w:p>
        </w:tc>
        <w:tc>
          <w:tcPr>
            <w:tcW w:w="2351" w:type="dxa"/>
          </w:tcPr>
          <w:p w14:paraId="6DB8B98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symmetric transfer</w:t>
            </w:r>
          </w:p>
        </w:tc>
      </w:tr>
      <w:tr w:rsidR="00C60C22" w14:paraId="54939B55"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BD7E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8</w:t>
            </w:r>
          </w:p>
        </w:tc>
        <w:tc>
          <w:tcPr>
            <w:tcW w:w="2351" w:type="dxa"/>
          </w:tcPr>
          <w:p w14:paraId="20A64D6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Games</w:t>
            </w:r>
          </w:p>
        </w:tc>
        <w:tc>
          <w:tcPr>
            <w:tcW w:w="2351" w:type="dxa"/>
          </w:tcPr>
          <w:p w14:paraId="26F4D73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19F12E8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popularity ceiling</w:t>
            </w:r>
          </w:p>
        </w:tc>
      </w:tr>
      <w:tr w:rsidR="00C60C22" w14:paraId="0526D5F4"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BAE9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9</w:t>
            </w:r>
          </w:p>
        </w:tc>
        <w:tc>
          <w:tcPr>
            <w:tcW w:w="2351" w:type="dxa"/>
          </w:tcPr>
          <w:p w14:paraId="46AF6E2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Movies</w:t>
            </w:r>
          </w:p>
        </w:tc>
        <w:tc>
          <w:tcPr>
            <w:tcW w:w="2351" w:type="dxa"/>
          </w:tcPr>
          <w:p w14:paraId="5321561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40F153C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same-domain safety baseline</w:t>
            </w:r>
          </w:p>
        </w:tc>
      </w:tr>
    </w:tbl>
    <w:p w14:paraId="3DEAA6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40 below visualises the nine-row assembly, mapping each frontend row to the lesson that motivated it.</w:t>
      </w:r>
    </w:p>
    <w:p w14:paraId="6DEFC0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FE3EABD" wp14:editId="55B11D1D">
            <wp:extent cx="5486400" cy="467503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6"/>
                    <a:srcRect/>
                    <a:stretch>
                      <a:fillRect/>
                    </a:stretch>
                  </pic:blipFill>
                  <pic:spPr>
                    <a:xfrm>
                      <a:off x="0" y="0"/>
                      <a:ext cx="5486400" cy="4675031"/>
                    </a:xfrm>
                    <a:prstGeom prst="rect">
                      <a:avLst/>
                    </a:prstGeom>
                    <a:ln/>
                  </pic:spPr>
                </pic:pic>
              </a:graphicData>
            </a:graphic>
          </wp:inline>
        </w:drawing>
      </w:r>
    </w:p>
    <w:p w14:paraId="21A64E1E"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40 — Nine recommendation rows and the lesson motivating each.</w:t>
      </w:r>
    </w:p>
    <w:p w14:paraId="040FA7B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Primary Row — Segment-Routed Top Picks</w:t>
      </w:r>
    </w:p>
    <w:p w14:paraId="67A126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w:t>
        <w:lastRenderedPageBreak/>
        <w:t>because it requires no game edges at inference time. All three variants are post-processed with the universal co-occurrence bonus from Lesson 8.</w:t>
      </w:r>
    </w:p>
    <w:p w14:paraId="2C4E66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B6D42E" wp14:editId="2EF698BE">
            <wp:extent cx="5486400" cy="39968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5486400" cy="3996832"/>
                    </a:xfrm>
                    <a:prstGeom prst="rect">
                      <a:avLst/>
                    </a:prstGeom>
                    <a:ln/>
                  </pic:spPr>
                </pic:pic>
              </a:graphicData>
            </a:graphic>
          </wp:inline>
        </w:drawing>
      </w:r>
    </w:p>
    <w:p w14:paraId="56C0DA3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41 — Primary row routing: one row, three models, chosen per user.</w:t>
      </w:r>
    </w:p>
    <w:p w14:paraId="3F80ED5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Secondary Row — Complementary Paradigm</w:t>
      </w:r>
    </w:p>
    <w:p w14:paraId="501CF4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14:paraId="01E71A3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Co-occurrence Standalone Row</w:t>
      </w:r>
    </w:p>
    <w:p w14:paraId="19E457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14:paraId="67EFC04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Hidden Gems — SBERT-CDR on Bottom-50% Popularity</w:t>
      </w:r>
    </w:p>
    <w:p w14:paraId="73B0E1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14:paraId="63BF27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Pure SBERT Movie-Similarity Row</w:t>
      </w:r>
    </w:p>
    <w:p w14:paraId="374AEC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14:paraId="50573A9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LightGCN Movies and Reverse Co-occurrence</w:t>
      </w:r>
    </w:p>
    <w:p w14:paraId="3D702B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14:paraId="134EC7A7"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Popularity Baselines</w:t>
      </w:r>
    </w:p>
    <w:p w14:paraId="504DFE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14:paraId="5B2579C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Why Co-occurrence Is Applied Universally</w:t>
      </w:r>
    </w:p>
    <w:p w14:paraId="47BCAD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14:paraId="2C630B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What We Deliberately Did Not Include</w:t>
      </w:r>
    </w:p>
    <w:p w14:paraId="6EACAD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14:paraId="71905EAD"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9. Conclusion and Future Work</w:t>
      </w:r>
    </w:p>
    <w:p w14:paraId="4A8D0A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1FEA3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77AA4EC2"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Contributions</w:t>
      </w:r>
    </w:p>
    <w:p w14:paraId="5B9C56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17BC8BB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3749A16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1EC110A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A universal, training-free post-processing layer — movie→game co-occurrence reranking at λ = 0.05 — that improves every base model on LLO and rescues single-domain models at cold-start.</w:t>
      </w:r>
    </w:p>
    <w:p w14:paraId="6FA7DD2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4. A context-aware routing rule operationalised in a full-stack demo: popularity + SBERT-CDR at n = 0 games, EMCDR/PTUPCDR at n = 1–2, LightGCN at n ≥ 3, universally reranked with co-occurrence.</w:t>
      </w:r>
    </w:p>
    <w:p w14:paraId="15DB49BB"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Future Work</w:t>
      </w:r>
    </w:p>
    <w:p w14:paraId="18A83F76"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997520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Additional domain pairs: Test the routing rule on other Amazon category pairs (e.g., books→movies, electronics→games)</w:t>
      </w:r>
    </w:p>
    <w:p w14:paraId="0D31DCCA"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4CEFDE7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Hybrid model: Train a single model that combines LightGCN graph signal with SBERT content and cooc behavioral transfer</w:t>
      </w:r>
    </w:p>
    <w:p w14:paraId="29374897"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48E880E7"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10. References</w:t>
      </w:r>
    </w:p>
    <w:p w14:paraId="1AA5F2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6B5B27F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23182D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719B54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0C4CD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45ED6F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40E91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4A7C26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17E8E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5D183E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61FE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122B77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2895056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77FD23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4540F8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6876F1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361D17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[17] Gao, C., et al. (2023). A survey of graph neural networks for recommender systems: Challenges, methods, and directions. TOIS.</w:t>
      </w:r>
    </w:p>
    <w:p w14:paraId="1513821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2873ABFD" w14:textId="77777777" w:rsidR="00C60C22" w:rsidRDefault="00C60C22">
      <w:pPr>
        <w:spacing w:after="120" w:line="324" w:lineRule="auto"/>
        <w:rPr>
          <w:rFonts w:ascii="Arial" w:eastAsia="Arial" w:hAnsi="Arial" w:cs="Arial"/>
          <w:color w:val="191919"/>
          <w:sz w:val="20"/>
          <w:szCs w:val="20"/>
        </w:rPr>
      </w:pPr>
    </w:p>
    <w:p w14:paraId="7899E2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429CB16C" w14:textId="77777777" w:rsidR="00C60C22" w:rsidRDefault="00C60C22">
      <w:pPr>
        <w:spacing w:after="120" w:line="324" w:lineRule="auto"/>
        <w:rPr>
          <w:rFonts w:ascii="Arial" w:eastAsia="Arial" w:hAnsi="Arial" w:cs="Arial"/>
          <w:color w:val="191919"/>
          <w:sz w:val="20"/>
          <w:szCs w:val="20"/>
        </w:rPr>
      </w:pPr>
      <w:hyperlink r:id="rId88">
        <w:r>
          <w:rPr>
            <w:rFonts w:ascii="Arial" w:eastAsia="Arial" w:hAnsi="Arial" w:cs="Arial"/>
            <w:color w:val="1155CC"/>
            <w:sz w:val="20"/>
            <w:szCs w:val="20"/>
            <w:u w:val="single"/>
          </w:rPr>
          <w:t>https://www.evidentlyai.com/ranking-metrics/precision-recall-at-k</w:t>
        </w:r>
      </w:hyperlink>
    </w:p>
    <w:p w14:paraId="104F55A1" w14:textId="77777777" w:rsidR="00C60C22" w:rsidRDefault="00C60C22">
      <w:pPr>
        <w:spacing w:after="120" w:line="324" w:lineRule="auto"/>
        <w:rPr>
          <w:rFonts w:ascii="Arial" w:eastAsia="Arial" w:hAnsi="Arial" w:cs="Arial"/>
          <w:color w:val="191919"/>
          <w:sz w:val="20"/>
          <w:szCs w:val="20"/>
        </w:rPr>
      </w:pPr>
    </w:p>
    <w:p w14:paraId="4E94A9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from the §6 sweeps).</w:t>
      </w:r>
    </w:p>
    <w:tbl>
      <w:tblPr>
        <w:tblStyle w:val="afff7"/>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C60C22" w14:paraId="7E240C6C"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31A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64D7E0C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48D62CF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5B890728"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2E45F2D"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C60C22" w14:paraId="0309A8E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FD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1881" w:type="dxa"/>
          </w:tcPr>
          <w:p w14:paraId="64E0D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0F86B7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753F7F1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FFB341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4914F46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A069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38F847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27DF856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450CE16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A3046B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2D77F8B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F1E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2C4594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31A179E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1ACEFBA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1198C98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plateau after K ≥ 2</w:t>
            </w:r>
          </w:p>
        </w:tc>
      </w:tr>
      <w:tr w:rsidR="00C60C22" w14:paraId="3F16AAF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8C5E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1A017BC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5F583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6B6ADB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35)</w:t>
            </w:r>
          </w:p>
        </w:tc>
        <w:tc>
          <w:tcPr>
            <w:tcW w:w="1881" w:type="dxa"/>
          </w:tcPr>
          <w:p w14:paraId="59341B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C60C22" w14:paraId="3E1EB22C"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A9A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7F807D0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7F48A19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206D402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36)</w:t>
            </w:r>
          </w:p>
        </w:tc>
        <w:tc>
          <w:tcPr>
            <w:tcW w:w="1881" w:type="dxa"/>
          </w:tcPr>
          <w:p w14:paraId="1A44027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C60C22" w14:paraId="17C0B1FA"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AA604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0E16A6E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160D9A0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22D9C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38)</w:t>
            </w:r>
          </w:p>
        </w:tc>
        <w:tc>
          <w:tcPr>
            <w:tcW w:w="1881" w:type="dxa"/>
          </w:tcPr>
          <w:p w14:paraId="16C17C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C60C22" w14:paraId="55AE9EC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880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67E9E03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124C9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2055C93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39)</w:t>
            </w:r>
          </w:p>
        </w:tc>
        <w:tc>
          <w:tcPr>
            <w:tcW w:w="1881" w:type="dxa"/>
          </w:tcPr>
          <w:p w14:paraId="1615998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C60C22" w14:paraId="1E7458A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0D81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4C3A2D1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6EE13A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5180BFB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534879C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07AC414" w14:textId="77777777" w:rsidR="00C60C22" w:rsidRDefault="00C60C22">
      <w:pPr>
        <w:widowControl w:val="0"/>
        <w:spacing w:after="120" w:line="324" w:lineRule="auto"/>
        <w:rPr>
          <w:rFonts w:ascii="Arial" w:eastAsia="Arial" w:hAnsi="Arial" w:cs="Arial"/>
          <w:color w:val="191919"/>
          <w:sz w:val="20"/>
          <w:szCs w:val="20"/>
        </w:rPr>
      </w:pPr>
    </w:p>
    <w:sectPr w:rsidR="00C60C22">
      <w:headerReference w:type="default" r:id="rId89"/>
      <w:footerReference w:type="default" r:id="rId9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454E750F" w14:textId="77777777" w:rsidR="00C60C22" w:rsidRDefault="00C95EC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E7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E750F" w16cid:durableId="62C59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8959" w14:textId="77777777" w:rsidR="00FC3C20" w:rsidRDefault="00FC3C20">
      <w:pPr>
        <w:spacing w:after="0" w:line="240" w:lineRule="auto"/>
      </w:pPr>
      <w:r>
        <w:separator/>
      </w:r>
    </w:p>
  </w:endnote>
  <w:endnote w:type="continuationSeparator" w:id="0">
    <w:p w14:paraId="31EEE5E3" w14:textId="77777777" w:rsidR="00FC3C20" w:rsidRDefault="00FC3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72C6B5C-5661-6541-B3F9-4062B9D7F068}"/>
    <w:embedBold r:id="rId2" w:fontKey="{50127F37-7004-2F48-8783-79963B0631F0}"/>
    <w:embedItalic r:id="rId3" w:fontKey="{40D4564F-DF5D-704C-AE6E-D27AC2B710FF}"/>
    <w:embedBoldItalic r:id="rId4" w:fontKey="{AEBC09C5-A138-B44D-A6A0-F8868EEAF329}"/>
  </w:font>
  <w:font w:name="Noto Sans Symbols">
    <w:charset w:val="00"/>
    <w:family w:val="auto"/>
    <w:pitch w:val="default"/>
    <w:embedRegular r:id="rId5" w:fontKey="{E93ADC14-4E2B-BD48-95E9-C56967FD89E4}"/>
  </w:font>
  <w:font w:name="Times New Roman">
    <w:panose1 w:val="02020603050405020304"/>
    <w:charset w:val="00"/>
    <w:family w:val="roman"/>
    <w:pitch w:val="variable"/>
    <w:sig w:usb0="E0002EFF" w:usb1="C000785B" w:usb2="00000009" w:usb3="00000000" w:csb0="000001FF" w:csb1="00000000"/>
    <w:embedRegular r:id="rId6" w:fontKey="{209C47A6-DA60-7741-8385-499678C6D9F2}"/>
  </w:font>
  <w:font w:name="Calibri">
    <w:panose1 w:val="020F0502020204030204"/>
    <w:charset w:val="00"/>
    <w:family w:val="swiss"/>
    <w:pitch w:val="variable"/>
    <w:sig w:usb0="E0002AFF" w:usb1="C000247B" w:usb2="00000009" w:usb3="00000000" w:csb0="000001FF" w:csb1="00000000"/>
    <w:embedRegular r:id="rId7" w:fontKey="{80FEA2DC-DB77-D842-A4D5-C2EA937E9CCE}"/>
    <w:embedBold r:id="rId8" w:fontKey="{E76FB4D4-651B-4044-A84D-77C64E897C40}"/>
    <w:embedItalic r:id="rId9" w:fontKey="{FEA0297F-563A-B04F-BA1D-5F280E162D63}"/>
    <w:embedBoldItalic r:id="rId10" w:fontKey="{AD579C54-6430-4244-8B93-67F339003417}"/>
  </w:font>
  <w:font w:name="Lora Medium">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embedRegular r:id="rId11" w:fontKey="{B94C1597-9653-E64A-AA78-73CD2C4B039D}"/>
    <w:embedItalic r:id="rId12" w:fontKey="{F95DEB2A-D9A8-8D48-8671-6C8FB3C899C9}"/>
  </w:font>
  <w:font w:name="Segoe UI Symbol">
    <w:panose1 w:val="020B0502040204020203"/>
    <w:charset w:val="00"/>
    <w:family w:val="swiss"/>
    <w:pitch w:val="variable"/>
    <w:sig w:usb0="800001E3" w:usb1="1200FFEF" w:usb2="00040000" w:usb3="00000000" w:csb0="00000001" w:csb1="00000000"/>
    <w:embedItalic r:id="rId13" w:fontKey="{B9BD81DA-9928-594A-A5A0-F37DA4C3CDD3}"/>
  </w:font>
  <w:font w:name="Cambria">
    <w:panose1 w:val="02040503050406030204"/>
    <w:charset w:val="00"/>
    <w:family w:val="roman"/>
    <w:pitch w:val="variable"/>
    <w:sig w:usb0="E00002FF" w:usb1="400004FF" w:usb2="00000000" w:usb3="00000000" w:csb0="0000019F" w:csb1="00000000"/>
    <w:embedRegular r:id="rId14" w:fontKey="{46044751-C6A5-F848-BDDE-84F3076344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E9F" w14:textId="77777777" w:rsidR="00C60C22"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95EC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7AFB" w14:textId="77777777" w:rsidR="00FC3C20" w:rsidRDefault="00FC3C20">
      <w:pPr>
        <w:spacing w:after="0" w:line="240" w:lineRule="auto"/>
      </w:pPr>
      <w:r>
        <w:separator/>
      </w:r>
    </w:p>
  </w:footnote>
  <w:footnote w:type="continuationSeparator" w:id="0">
    <w:p w14:paraId="570B723F" w14:textId="77777777" w:rsidR="00FC3C20" w:rsidRDefault="00FC3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D9B2" w14:textId="77777777" w:rsidR="00C60C22"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E9"/>
    <w:multiLevelType w:val="multilevel"/>
    <w:tmpl w:val="7884C7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4A78FC"/>
    <w:multiLevelType w:val="multilevel"/>
    <w:tmpl w:val="45682A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BB35F5"/>
    <w:multiLevelType w:val="multilevel"/>
    <w:tmpl w:val="6B9A5A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CD3C66"/>
    <w:multiLevelType w:val="multilevel"/>
    <w:tmpl w:val="98EAD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A33E44"/>
    <w:multiLevelType w:val="multilevel"/>
    <w:tmpl w:val="F6C2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684A5F"/>
    <w:multiLevelType w:val="multilevel"/>
    <w:tmpl w:val="C1F8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1A074C"/>
    <w:multiLevelType w:val="multilevel"/>
    <w:tmpl w:val="2DC8C4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1B66DF"/>
    <w:multiLevelType w:val="multilevel"/>
    <w:tmpl w:val="A49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D0A12"/>
    <w:multiLevelType w:val="multilevel"/>
    <w:tmpl w:val="0EA6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BE1DE4"/>
    <w:multiLevelType w:val="multilevel"/>
    <w:tmpl w:val="D046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5957221">
    <w:abstractNumId w:val="0"/>
  </w:num>
  <w:num w:numId="2" w16cid:durableId="661354261">
    <w:abstractNumId w:val="3"/>
  </w:num>
  <w:num w:numId="3" w16cid:durableId="1495414583">
    <w:abstractNumId w:val="4"/>
  </w:num>
  <w:num w:numId="4" w16cid:durableId="908343095">
    <w:abstractNumId w:val="9"/>
  </w:num>
  <w:num w:numId="5" w16cid:durableId="167838260">
    <w:abstractNumId w:val="1"/>
  </w:num>
  <w:num w:numId="6" w16cid:durableId="441999169">
    <w:abstractNumId w:val="7"/>
  </w:num>
  <w:num w:numId="7" w16cid:durableId="1180121753">
    <w:abstractNumId w:val="8"/>
  </w:num>
  <w:num w:numId="8" w16cid:durableId="974486606">
    <w:abstractNumId w:val="6"/>
  </w:num>
  <w:num w:numId="9" w16cid:durableId="990254685">
    <w:abstractNumId w:val="2"/>
  </w:num>
  <w:num w:numId="10" w16cid:durableId="201683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2"/>
    <w:rsid w:val="00220F24"/>
    <w:rsid w:val="0024669D"/>
    <w:rsid w:val="002806D8"/>
    <w:rsid w:val="00293E27"/>
    <w:rsid w:val="004164BB"/>
    <w:rsid w:val="00445F0B"/>
    <w:rsid w:val="00806362"/>
    <w:rsid w:val="00894F91"/>
    <w:rsid w:val="00907D75"/>
    <w:rsid w:val="00A14A4D"/>
    <w:rsid w:val="00C60C22"/>
    <w:rsid w:val="00C84CA2"/>
    <w:rsid w:val="00C95EC0"/>
    <w:rsid w:val="00DE485D"/>
    <w:rsid w:val="00E15201"/>
    <w:rsid w:val="00E16F7B"/>
    <w:rsid w:val="00EF2689"/>
    <w:rsid w:val="00FC3717"/>
    <w:rsid w:val="00FC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B396"/>
  <w15:docId w15:val="{41A265A6-5D6A-4141-AD22-8823040B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1B2A4A"/>
      <w:sz w:val="36"/>
      <w:szCs w:val="36"/>
    </w:rPr>
  </w:style>
  <w:style w:type="paragraph" w:styleId="Heading2">
    <w:name w:val="heading 2"/>
    <w:basedOn w:val="Normal"/>
    <w:next w:val="Normal"/>
    <w:uiPriority w:val="9"/>
    <w:unhideWhenUsed/>
    <w:qFormat/>
    <w:pPr>
      <w:keepNext/>
      <w:keepLines/>
      <w:spacing w:before="280" w:after="120"/>
      <w:outlineLvl w:val="1"/>
    </w:pPr>
    <w:rPr>
      <w:b/>
      <w:bCs/>
      <w:color w:val="3D5A80"/>
      <w:sz w:val="28"/>
      <w:szCs w:val="28"/>
    </w:rPr>
  </w:style>
  <w:style w:type="paragraph" w:styleId="Heading3">
    <w:name w:val="heading 3"/>
    <w:basedOn w:val="Normal"/>
    <w:next w:val="Normal"/>
    <w:uiPriority w:val="9"/>
    <w:unhideWhenUsed/>
    <w:qFormat/>
    <w:pPr>
      <w:keepNext/>
      <w:keepLines/>
      <w:spacing w:before="200"/>
      <w:outlineLvl w:val="2"/>
    </w:pPr>
    <w:rPr>
      <w:b/>
      <w:bCs/>
      <w:color w:val="2E7D8C"/>
      <w:sz w:val="24"/>
      <w:szCs w:val="24"/>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comments" Target="comments.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www.evidentlyai.com/ranking-metrics/precision-recall-at-k"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F6D2D-A5B4-6340-B7E8-01CADD6C4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83</Pages>
  <Words>16718</Words>
  <Characters>95296</Characters>
  <Application>Microsoft Office Word</Application>
  <DocSecurity>0</DocSecurity>
  <Lines>794</Lines>
  <Paragraphs>223</Paragraphs>
  <ScaleCrop>false</ScaleCrop>
  <Company/>
  <LinksUpToDate>false</LinksUpToDate>
  <CharactersWithSpaces>111791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11</cp:revision>
  <dcterms:created xsi:type="dcterms:W3CDTF">2026-04-23T12:19:00Z</dcterms:created>
  <dcterms:modified xsi:type="dcterms:W3CDTF">2026-04-23T14:23:00Z</dcterms:modified>
</cp:coreProperties>
</file>