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B520" w14:textId="77777777" w:rsidR="00FF3BD9" w:rsidRDefault="00FF3BD9">
      <w:pPr>
        <w:spacing w:after="0" w:line="480" w:lineRule="auto"/>
        <w:jc w:val="center"/>
        <w:rPr>
          <w:b/>
        </w:rPr>
      </w:pPr>
    </w:p>
    <w:p w14:paraId="56D08218" w14:textId="77777777" w:rsidR="00FF3BD9" w:rsidRDefault="00FF3BD9">
      <w:pPr>
        <w:spacing w:after="0" w:line="480" w:lineRule="auto"/>
        <w:jc w:val="center"/>
        <w:rPr>
          <w:b/>
        </w:rPr>
      </w:pPr>
    </w:p>
    <w:p w14:paraId="78673F3D" w14:textId="77777777" w:rsidR="00FF3BD9" w:rsidRDefault="00FF3BD9">
      <w:pPr>
        <w:spacing w:after="0" w:line="480" w:lineRule="auto"/>
        <w:jc w:val="center"/>
        <w:rPr>
          <w:b/>
        </w:rPr>
      </w:pPr>
    </w:p>
    <w:p w14:paraId="37A3C73B" w14:textId="77777777" w:rsidR="005D2626" w:rsidRDefault="005D2626">
      <w:pPr>
        <w:spacing w:after="0" w:line="480" w:lineRule="auto"/>
        <w:jc w:val="center"/>
        <w:rPr>
          <w:b/>
        </w:rPr>
      </w:pPr>
    </w:p>
    <w:p w14:paraId="2074B03A" w14:textId="1D82A294" w:rsidR="00B2105A" w:rsidRDefault="00480AF1">
      <w:pPr>
        <w:spacing w:after="0" w:line="480" w:lineRule="auto"/>
        <w:jc w:val="center"/>
        <w:rPr>
          <w:b/>
        </w:rPr>
      </w:pPr>
      <w:r>
        <w:rPr>
          <w:b/>
        </w:rPr>
        <w:t>ETF Risk Monitoring Dashboard</w:t>
      </w:r>
      <w:r>
        <w:rPr>
          <w:b/>
        </w:rPr>
        <w:br/>
        <w:t>Methodology Memo</w:t>
      </w:r>
    </w:p>
    <w:p w14:paraId="7F0B8CC9" w14:textId="77777777" w:rsidR="00FF3BD9" w:rsidRDefault="00FF3BD9">
      <w:pPr>
        <w:spacing w:after="0" w:line="480" w:lineRule="auto"/>
        <w:jc w:val="center"/>
        <w:rPr>
          <w:b/>
        </w:rPr>
      </w:pPr>
    </w:p>
    <w:p w14:paraId="1CFCD1E7" w14:textId="30F38CD7" w:rsidR="00FF3BD9" w:rsidRDefault="00FF3BD9">
      <w:pPr>
        <w:spacing w:after="0" w:line="480" w:lineRule="auto"/>
        <w:jc w:val="center"/>
        <w:rPr>
          <w:bCs/>
        </w:rPr>
      </w:pPr>
      <w:r>
        <w:rPr>
          <w:bCs/>
        </w:rPr>
        <w:t>Khoi Van</w:t>
      </w:r>
    </w:p>
    <w:p w14:paraId="5B9A1ADF" w14:textId="1E89FA42" w:rsidR="00FF3BD9" w:rsidRDefault="00FF3BD9">
      <w:pPr>
        <w:spacing w:after="0" w:line="480" w:lineRule="auto"/>
        <w:jc w:val="center"/>
        <w:rPr>
          <w:bCs/>
        </w:rPr>
      </w:pPr>
      <w:r>
        <w:rPr>
          <w:bCs/>
        </w:rPr>
        <w:t>Wabash College,</w:t>
      </w:r>
    </w:p>
    <w:p w14:paraId="2F08463F" w14:textId="0099F048" w:rsidR="00FF3BD9" w:rsidRPr="00FF3BD9" w:rsidRDefault="009C044F">
      <w:pPr>
        <w:spacing w:after="0" w:line="480" w:lineRule="auto"/>
        <w:jc w:val="center"/>
        <w:rPr>
          <w:bCs/>
        </w:rPr>
      </w:pPr>
      <w:r>
        <w:rPr>
          <w:bCs/>
        </w:rPr>
        <w:t>February 27</w:t>
      </w:r>
      <w:r w:rsidRPr="009C044F">
        <w:rPr>
          <w:bCs/>
          <w:vertAlign w:val="superscript"/>
        </w:rPr>
        <w:t>th</w:t>
      </w:r>
      <w:r w:rsidR="00FF3BD9">
        <w:rPr>
          <w:bCs/>
        </w:rPr>
        <w:t>, 2026</w:t>
      </w:r>
    </w:p>
    <w:p w14:paraId="44074FBA" w14:textId="5327CD28" w:rsidR="00B2105A" w:rsidRDefault="00FF3BD9" w:rsidP="005D2626">
      <w:r>
        <w:br w:type="page"/>
      </w:r>
    </w:p>
    <w:p w14:paraId="5D519309" w14:textId="0C6A7662" w:rsidR="005D2626" w:rsidRPr="005D2626" w:rsidRDefault="005D2626" w:rsidP="005D2626">
      <w:pPr>
        <w:rPr>
          <w:b/>
          <w:bCs/>
        </w:rPr>
      </w:pPr>
      <w:r w:rsidRPr="005D2626">
        <w:rPr>
          <w:b/>
          <w:bCs/>
        </w:rPr>
        <w:lastRenderedPageBreak/>
        <w:t>Portfolio Summary</w:t>
      </w:r>
      <w:r>
        <w:rPr>
          <w:b/>
          <w:bCs/>
        </w:rPr>
        <w:t>:</w:t>
      </w:r>
    </w:p>
    <w:tbl>
      <w:tblPr>
        <w:tblStyle w:val="TableGrid"/>
        <w:tblW w:w="9018" w:type="dxa"/>
        <w:tblLook w:val="04A0" w:firstRow="1" w:lastRow="0" w:firstColumn="1" w:lastColumn="0" w:noHBand="0" w:noVBand="1"/>
      </w:tblPr>
      <w:tblGrid>
        <w:gridCol w:w="4509"/>
        <w:gridCol w:w="4509"/>
      </w:tblGrid>
      <w:tr w:rsidR="00B2105A" w14:paraId="6B9FD61B" w14:textId="77777777" w:rsidTr="007865D5">
        <w:trPr>
          <w:trHeight w:val="581"/>
        </w:trPr>
        <w:tc>
          <w:tcPr>
            <w:tcW w:w="4509" w:type="dxa"/>
            <w:vAlign w:val="center"/>
          </w:tcPr>
          <w:p w14:paraId="2A3F2335" w14:textId="77777777" w:rsidR="00B2105A" w:rsidRDefault="00480AF1" w:rsidP="004377D3">
            <w:pPr>
              <w:spacing w:line="480" w:lineRule="auto"/>
              <w:jc w:val="center"/>
            </w:pPr>
            <w:r>
              <w:t>Portfolio</w:t>
            </w:r>
          </w:p>
        </w:tc>
        <w:tc>
          <w:tcPr>
            <w:tcW w:w="4509" w:type="dxa"/>
            <w:vAlign w:val="center"/>
          </w:tcPr>
          <w:p w14:paraId="167F3DC3" w14:textId="77777777" w:rsidR="00B2105A" w:rsidRDefault="00480AF1" w:rsidP="004377D3">
            <w:pPr>
              <w:spacing w:line="480" w:lineRule="auto"/>
              <w:jc w:val="center"/>
            </w:pPr>
            <w:r>
              <w:t>Equal-weight ETF portfolio (12 ETFs)</w:t>
            </w:r>
          </w:p>
          <w:p w14:paraId="533677D4" w14:textId="4E403236" w:rsidR="004377D3" w:rsidRDefault="004377D3" w:rsidP="004377D3">
            <w:pPr>
              <w:spacing w:line="480" w:lineRule="auto"/>
              <w:jc w:val="center"/>
            </w:pPr>
            <w:r>
              <w:t>Start at $10,000</w:t>
            </w:r>
          </w:p>
        </w:tc>
      </w:tr>
      <w:tr w:rsidR="00B2105A" w14:paraId="0118EAD1" w14:textId="77777777" w:rsidTr="007865D5">
        <w:trPr>
          <w:trHeight w:val="1173"/>
        </w:trPr>
        <w:tc>
          <w:tcPr>
            <w:tcW w:w="4509" w:type="dxa"/>
            <w:vAlign w:val="center"/>
          </w:tcPr>
          <w:p w14:paraId="6DE5BEB2" w14:textId="77777777" w:rsidR="00B2105A" w:rsidRDefault="00480AF1" w:rsidP="004377D3">
            <w:pPr>
              <w:spacing w:line="480" w:lineRule="auto"/>
              <w:jc w:val="center"/>
            </w:pPr>
            <w:r>
              <w:t>ETFs</w:t>
            </w:r>
          </w:p>
        </w:tc>
        <w:tc>
          <w:tcPr>
            <w:tcW w:w="4509" w:type="dxa"/>
            <w:vAlign w:val="center"/>
          </w:tcPr>
          <w:p w14:paraId="21D19A4B" w14:textId="77777777" w:rsidR="00B2105A" w:rsidRDefault="00480AF1" w:rsidP="004377D3">
            <w:pPr>
              <w:spacing w:line="480" w:lineRule="auto"/>
              <w:jc w:val="center"/>
            </w:pPr>
            <w:r>
              <w:t>DBC, EEM, EFA, GLD, HYG, IEF, IWM, LQD, QQQ, SPY, TLT, VNQ</w:t>
            </w:r>
          </w:p>
        </w:tc>
      </w:tr>
      <w:tr w:rsidR="00B2105A" w14:paraId="3B77129D" w14:textId="77777777" w:rsidTr="007865D5">
        <w:trPr>
          <w:trHeight w:val="1162"/>
        </w:trPr>
        <w:tc>
          <w:tcPr>
            <w:tcW w:w="4509" w:type="dxa"/>
            <w:vAlign w:val="center"/>
          </w:tcPr>
          <w:p w14:paraId="33F516EA" w14:textId="77777777" w:rsidR="00B2105A" w:rsidRDefault="00480AF1" w:rsidP="004377D3">
            <w:pPr>
              <w:spacing w:line="480" w:lineRule="auto"/>
              <w:jc w:val="center"/>
            </w:pPr>
            <w:r>
              <w:t>Data</w:t>
            </w:r>
          </w:p>
        </w:tc>
        <w:tc>
          <w:tcPr>
            <w:tcW w:w="4509" w:type="dxa"/>
            <w:vAlign w:val="center"/>
          </w:tcPr>
          <w:p w14:paraId="5C7CD152" w14:textId="77777777" w:rsidR="00B2105A" w:rsidRDefault="00480AF1" w:rsidP="004377D3">
            <w:pPr>
              <w:spacing w:line="480" w:lineRule="auto"/>
              <w:jc w:val="center"/>
            </w:pPr>
            <w:r>
              <w:t>Daily adjusted close prices (trading days only)</w:t>
            </w:r>
          </w:p>
        </w:tc>
      </w:tr>
      <w:tr w:rsidR="00B2105A" w14:paraId="25746F2D" w14:textId="77777777" w:rsidTr="007865D5">
        <w:trPr>
          <w:trHeight w:val="455"/>
        </w:trPr>
        <w:tc>
          <w:tcPr>
            <w:tcW w:w="4509" w:type="dxa"/>
            <w:vAlign w:val="center"/>
          </w:tcPr>
          <w:p w14:paraId="6211EEB2" w14:textId="77777777" w:rsidR="00B2105A" w:rsidRDefault="00480AF1" w:rsidP="004377D3">
            <w:pPr>
              <w:spacing w:line="480" w:lineRule="auto"/>
              <w:jc w:val="center"/>
            </w:pPr>
            <w:r>
              <w:t>Time period</w:t>
            </w:r>
          </w:p>
        </w:tc>
        <w:tc>
          <w:tcPr>
            <w:tcW w:w="4509" w:type="dxa"/>
            <w:vAlign w:val="center"/>
          </w:tcPr>
          <w:p w14:paraId="64FEFE73" w14:textId="1AC43068" w:rsidR="00B2105A" w:rsidRDefault="00480AF1" w:rsidP="004377D3">
            <w:pPr>
              <w:spacing w:line="480" w:lineRule="auto"/>
              <w:jc w:val="center"/>
            </w:pPr>
            <w:r>
              <w:t>5 years</w:t>
            </w:r>
          </w:p>
        </w:tc>
      </w:tr>
      <w:tr w:rsidR="00B2105A" w14:paraId="410E3AC2" w14:textId="77777777" w:rsidTr="007865D5">
        <w:trPr>
          <w:trHeight w:val="581"/>
        </w:trPr>
        <w:tc>
          <w:tcPr>
            <w:tcW w:w="4509" w:type="dxa"/>
            <w:vAlign w:val="center"/>
          </w:tcPr>
          <w:p w14:paraId="7ED9CC50" w14:textId="77777777" w:rsidR="00B2105A" w:rsidRDefault="00480AF1" w:rsidP="004377D3">
            <w:pPr>
              <w:spacing w:line="480" w:lineRule="auto"/>
              <w:jc w:val="center"/>
            </w:pPr>
            <w:r>
              <w:t>Tail risk method</w:t>
            </w:r>
          </w:p>
        </w:tc>
        <w:tc>
          <w:tcPr>
            <w:tcW w:w="4509" w:type="dxa"/>
            <w:vAlign w:val="center"/>
          </w:tcPr>
          <w:p w14:paraId="04801765" w14:textId="77777777" w:rsidR="00B2105A" w:rsidRDefault="00480AF1" w:rsidP="004377D3">
            <w:pPr>
              <w:spacing w:line="480" w:lineRule="auto"/>
              <w:jc w:val="center"/>
            </w:pPr>
            <w:r>
              <w:t>1-day historical VaR and CVaR at 95%</w:t>
            </w:r>
          </w:p>
        </w:tc>
      </w:tr>
      <w:tr w:rsidR="00B2105A" w14:paraId="6276E364" w14:textId="77777777" w:rsidTr="007865D5">
        <w:trPr>
          <w:trHeight w:val="1173"/>
        </w:trPr>
        <w:tc>
          <w:tcPr>
            <w:tcW w:w="4509" w:type="dxa"/>
            <w:vAlign w:val="center"/>
          </w:tcPr>
          <w:p w14:paraId="59F0FFBD" w14:textId="7D434280" w:rsidR="00B2105A" w:rsidRDefault="00480AF1" w:rsidP="004377D3">
            <w:pPr>
              <w:spacing w:line="480" w:lineRule="auto"/>
              <w:jc w:val="center"/>
            </w:pPr>
            <w:r>
              <w:t>Dashboard snapshot (</w:t>
            </w:r>
            <w:r w:rsidR="007865D5">
              <w:t>0</w:t>
            </w:r>
            <w:r>
              <w:t>3/</w:t>
            </w:r>
            <w:r w:rsidR="007865D5">
              <w:t>0</w:t>
            </w:r>
            <w:r>
              <w:t>3/2026)</w:t>
            </w:r>
          </w:p>
        </w:tc>
        <w:tc>
          <w:tcPr>
            <w:tcW w:w="4509" w:type="dxa"/>
            <w:vAlign w:val="center"/>
          </w:tcPr>
          <w:p w14:paraId="0D8FD8A5" w14:textId="77777777" w:rsidR="00B2105A" w:rsidRDefault="00480AF1" w:rsidP="004377D3">
            <w:pPr>
              <w:spacing w:line="480" w:lineRule="auto"/>
              <w:jc w:val="center"/>
            </w:pPr>
            <w:r>
              <w:t>Ann Vol 11%; Max Drawdown −22%; VaR95 1%; CVaR95 2%</w:t>
            </w:r>
          </w:p>
        </w:tc>
      </w:tr>
      <w:tr w:rsidR="00B2105A" w14:paraId="67DFD937" w14:textId="77777777" w:rsidTr="007865D5">
        <w:trPr>
          <w:trHeight w:val="1162"/>
        </w:trPr>
        <w:tc>
          <w:tcPr>
            <w:tcW w:w="4509" w:type="dxa"/>
            <w:vAlign w:val="center"/>
          </w:tcPr>
          <w:p w14:paraId="05FE6F0A" w14:textId="7381CCF6" w:rsidR="00B2105A" w:rsidRDefault="00480AF1" w:rsidP="004377D3">
            <w:pPr>
              <w:spacing w:line="480" w:lineRule="auto"/>
              <w:jc w:val="center"/>
            </w:pPr>
            <w:r>
              <w:t>Correlation</w:t>
            </w:r>
          </w:p>
        </w:tc>
        <w:tc>
          <w:tcPr>
            <w:tcW w:w="4509" w:type="dxa"/>
            <w:vAlign w:val="center"/>
          </w:tcPr>
          <w:p w14:paraId="125BFDD0" w14:textId="55A0E8A2" w:rsidR="004377D3" w:rsidRDefault="00480AF1" w:rsidP="004377D3">
            <w:pPr>
              <w:spacing w:line="480" w:lineRule="auto"/>
              <w:jc w:val="center"/>
            </w:pPr>
            <w:r>
              <w:t>Avg Corr to SPY</w:t>
            </w:r>
            <w:r w:rsidR="004D57B7">
              <w:t>:</w:t>
            </w:r>
            <w:r>
              <w:t xml:space="preserve"> 0.50</w:t>
            </w:r>
          </w:p>
          <w:p w14:paraId="0CF681D7" w14:textId="408390EF" w:rsidR="00B2105A" w:rsidRDefault="00480AF1" w:rsidP="004377D3">
            <w:pPr>
              <w:spacing w:line="480" w:lineRule="auto"/>
              <w:jc w:val="center"/>
            </w:pPr>
            <w:r>
              <w:t>Highest Corr Pair</w:t>
            </w:r>
            <w:r w:rsidR="004D57B7">
              <w:t>:</w:t>
            </w:r>
            <w:r>
              <w:t xml:space="preserve"> QQQ–SPY (0.95)</w:t>
            </w:r>
          </w:p>
        </w:tc>
      </w:tr>
    </w:tbl>
    <w:p w14:paraId="119CF118" w14:textId="77777777" w:rsidR="00B2105A" w:rsidRDefault="00B2105A">
      <w:pPr>
        <w:spacing w:after="0" w:line="480" w:lineRule="auto"/>
      </w:pPr>
    </w:p>
    <w:p w14:paraId="4B027109" w14:textId="77777777" w:rsidR="005D2626" w:rsidRDefault="005D2626">
      <w:pPr>
        <w:rPr>
          <w:rFonts w:cstheme="majorBidi"/>
          <w:b/>
          <w:bCs/>
          <w:szCs w:val="28"/>
        </w:rPr>
      </w:pPr>
      <w:r>
        <w:br w:type="page"/>
      </w:r>
    </w:p>
    <w:p w14:paraId="0CCCBA2D" w14:textId="02EFC52C" w:rsidR="00B2105A" w:rsidRPr="00564D1F" w:rsidRDefault="00480AF1" w:rsidP="0050712F">
      <w:pPr>
        <w:pStyle w:val="Heading1"/>
        <w:numPr>
          <w:ilvl w:val="0"/>
          <w:numId w:val="12"/>
        </w:numPr>
        <w:spacing w:before="0" w:line="480" w:lineRule="auto"/>
        <w:jc w:val="both"/>
        <w:rPr>
          <w:color w:val="auto"/>
        </w:rPr>
      </w:pPr>
      <w:r w:rsidRPr="00564D1F">
        <w:rPr>
          <w:rFonts w:ascii="Times New Roman" w:eastAsia="Times New Roman" w:hAnsi="Times New Roman"/>
          <w:color w:val="auto"/>
          <w:sz w:val="24"/>
        </w:rPr>
        <w:lastRenderedPageBreak/>
        <w:t xml:space="preserve">Prices </w:t>
      </w:r>
      <w:r w:rsidR="00100258">
        <w:rPr>
          <w:rFonts w:ascii="Times New Roman" w:eastAsia="Times New Roman" w:hAnsi="Times New Roman"/>
          <w:color w:val="auto"/>
          <w:sz w:val="24"/>
        </w:rPr>
        <w:t>T</w:t>
      </w:r>
      <w:r w:rsidRPr="00564D1F">
        <w:rPr>
          <w:rFonts w:ascii="Times New Roman" w:eastAsia="Times New Roman" w:hAnsi="Times New Roman"/>
          <w:color w:val="auto"/>
          <w:sz w:val="24"/>
        </w:rPr>
        <w:t xml:space="preserve">o </w:t>
      </w:r>
      <w:r w:rsidR="00100258">
        <w:rPr>
          <w:rFonts w:ascii="Times New Roman" w:eastAsia="Times New Roman" w:hAnsi="Times New Roman"/>
          <w:color w:val="auto"/>
          <w:sz w:val="24"/>
        </w:rPr>
        <w:t>D</w:t>
      </w:r>
      <w:r w:rsidRPr="00564D1F">
        <w:rPr>
          <w:rFonts w:ascii="Times New Roman" w:eastAsia="Times New Roman" w:hAnsi="Times New Roman"/>
          <w:color w:val="auto"/>
          <w:sz w:val="24"/>
        </w:rPr>
        <w:t xml:space="preserve">aily </w:t>
      </w:r>
      <w:r w:rsidR="00100258">
        <w:rPr>
          <w:rFonts w:ascii="Times New Roman" w:eastAsia="Times New Roman" w:hAnsi="Times New Roman"/>
          <w:color w:val="auto"/>
          <w:sz w:val="24"/>
        </w:rPr>
        <w:t>R</w:t>
      </w:r>
      <w:r w:rsidRPr="00564D1F">
        <w:rPr>
          <w:rFonts w:ascii="Times New Roman" w:eastAsia="Times New Roman" w:hAnsi="Times New Roman"/>
          <w:color w:val="auto"/>
          <w:sz w:val="24"/>
        </w:rPr>
        <w:t>eturns</w:t>
      </w:r>
      <w:r w:rsidR="0050712F">
        <w:rPr>
          <w:rFonts w:ascii="Times New Roman" w:eastAsia="Times New Roman" w:hAnsi="Times New Roman"/>
          <w:color w:val="auto"/>
          <w:sz w:val="24"/>
        </w:rPr>
        <w:t xml:space="preserve"> </w:t>
      </w:r>
    </w:p>
    <w:p w14:paraId="51C151FC" w14:textId="0073024C" w:rsidR="00000B0F" w:rsidRDefault="00480AF1" w:rsidP="00AB0443">
      <w:pPr>
        <w:spacing w:after="0" w:line="480" w:lineRule="auto"/>
        <w:ind w:firstLine="720"/>
        <w:jc w:val="both"/>
      </w:pPr>
      <w:r>
        <w:t>A daily return answers: “What percent did this ETF go up or down since the previous trading</w:t>
      </w:r>
      <w:r w:rsidR="00000B0F">
        <w:t xml:space="preserve"> </w:t>
      </w:r>
      <w:r>
        <w:t>day?”</w:t>
      </w:r>
    </w:p>
    <w:p w14:paraId="4BCAAA8F" w14:textId="07F0FD1A" w:rsidR="00B2105A" w:rsidRDefault="00435CE0" w:rsidP="00000B0F">
      <w:pPr>
        <w:spacing w:after="0" w:line="480" w:lineRule="auto"/>
        <w:jc w:val="both"/>
      </w:pPr>
      <m:oMathPara>
        <m:oMath>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i,t</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i,t-1</m:t>
                  </m:r>
                </m:sub>
              </m:sSub>
              <m:ctrlPr>
                <w:rPr>
                  <w:rFonts w:ascii="Cambria Math" w:hAnsi="Cambria Math"/>
                  <w:i/>
                </w:rPr>
              </m:ctrlPr>
            </m:den>
          </m:f>
          <m:r>
            <w:rPr>
              <w:rFonts w:ascii="Cambria Math" w:hAnsi="Cambria Math"/>
            </w:rPr>
            <m:t>-1.</m:t>
          </m:r>
        </m:oMath>
      </m:oMathPara>
    </w:p>
    <w:p w14:paraId="5A3D6B44" w14:textId="4FB38AEC" w:rsidR="0050712F" w:rsidRDefault="00480AF1" w:rsidP="0050712F">
      <w:pPr>
        <w:spacing w:after="0" w:line="480" w:lineRule="auto"/>
        <w:ind w:firstLine="720"/>
        <w:jc w:val="both"/>
      </w:pPr>
      <w:r>
        <w:t>Here,</w:t>
      </w:r>
      <m:oMath>
        <m:sSub>
          <m:sSubPr>
            <m:ctrlPr>
              <w:rPr>
                <w:rFonts w:ascii="Cambria Math" w:hAnsi="Cambria Math"/>
                <w:i/>
              </w:rPr>
            </m:ctrlPr>
          </m:sSubPr>
          <m:e>
            <m:r>
              <w:rPr>
                <w:rFonts w:ascii="Cambria Math" w:hAnsi="Cambria Math"/>
              </w:rPr>
              <m:t xml:space="preserve"> P</m:t>
            </m:r>
          </m:e>
          <m:sub>
            <m:r>
              <w:rPr>
                <w:rFonts w:ascii="Cambria Math" w:hAnsi="Cambria Math"/>
              </w:rPr>
              <m:t>i,t</m:t>
            </m:r>
          </m:sub>
        </m:sSub>
      </m:oMath>
      <w:r>
        <w:t xml:space="preserve"> is the price of </w:t>
      </w:r>
      <w:r w:rsidR="00734020">
        <w:t xml:space="preserve">the </w:t>
      </w:r>
      <w:r>
        <w:t xml:space="preserve">ETF </w:t>
      </w:r>
      <m:oMath>
        <m:r>
          <w:rPr>
            <w:rFonts w:ascii="Cambria Math" w:hAnsi="Cambria Math"/>
          </w:rPr>
          <m:t>i</m:t>
        </m:r>
      </m:oMath>
      <w:r>
        <w:t xml:space="preserve"> today, and </w:t>
      </w:r>
      <m:oMath>
        <m:sSub>
          <m:sSubPr>
            <m:ctrlPr>
              <w:rPr>
                <w:rFonts w:ascii="Cambria Math" w:hAnsi="Cambria Math"/>
                <w:i/>
              </w:rPr>
            </m:ctrlPr>
          </m:sSubPr>
          <m:e>
            <m:r>
              <w:rPr>
                <w:rFonts w:ascii="Cambria Math" w:hAnsi="Cambria Math"/>
              </w:rPr>
              <m:t>P</m:t>
            </m:r>
          </m:e>
          <m:sub>
            <m:r>
              <w:rPr>
                <w:rFonts w:ascii="Cambria Math" w:hAnsi="Cambria Math"/>
              </w:rPr>
              <m:t>i,t-1</m:t>
            </m:r>
          </m:sub>
        </m:sSub>
      </m:oMath>
      <w:r>
        <w:t xml:space="preserve"> is the price </w:t>
      </w:r>
      <w:r w:rsidR="00564D1F">
        <w:t xml:space="preserve">from </w:t>
      </w:r>
      <w:r>
        <w:t xml:space="preserve">yesterday. </w:t>
      </w:r>
      <w:r w:rsidR="00000B0F">
        <w:t>P</w:t>
      </w:r>
      <w:r>
        <w:t xml:space="preserve">rices </w:t>
      </w:r>
      <w:r w:rsidR="0016394F">
        <w:t>vary across ETFs, but returns are expressed as percentages, making them</w:t>
      </w:r>
      <w:r>
        <w:t xml:space="preserve"> comparable. </w:t>
      </w:r>
      <w:r w:rsidR="00373B10" w:rsidRPr="00373B10">
        <w:t xml:space="preserve">Returns are the daily outcomes of </w:t>
      </w:r>
      <w:r w:rsidR="00A87719">
        <w:t>the</w:t>
      </w:r>
      <w:r w:rsidR="00373B10" w:rsidRPr="00373B10">
        <w:t xml:space="preserve"> portfolio, and the future signal here is about what types of days </w:t>
      </w:r>
      <w:r w:rsidR="00381F60">
        <w:t>I</w:t>
      </w:r>
      <w:r w:rsidR="00373B10" w:rsidRPr="00373B10">
        <w:t xml:space="preserve"> should be prepared for. For risk management, returns also </w:t>
      </w:r>
      <w:r w:rsidR="001C4466">
        <w:t xml:space="preserve">trigger alerts, such as when daily losses begin to cluster or the worst days start occurring more frequently than expected. This is a warning that the market regime may have changed, which means the historical risk estimates may understate the </w:t>
      </w:r>
      <w:r w:rsidR="00373B10" w:rsidRPr="00373B10">
        <w:t>current risk</w:t>
      </w:r>
      <w:r w:rsidR="0050712F">
        <w:t>.</w:t>
      </w:r>
    </w:p>
    <w:p w14:paraId="724B4ABB" w14:textId="264E1570" w:rsidR="00B2105A" w:rsidRPr="0050712F" w:rsidRDefault="00480AF1" w:rsidP="0050712F">
      <w:pPr>
        <w:pStyle w:val="ListParagraph"/>
        <w:numPr>
          <w:ilvl w:val="0"/>
          <w:numId w:val="12"/>
        </w:numPr>
        <w:spacing w:after="0" w:line="480" w:lineRule="auto"/>
        <w:jc w:val="both"/>
        <w:rPr>
          <w:b/>
          <w:bCs/>
        </w:rPr>
      </w:pPr>
      <w:r w:rsidRPr="0050712F">
        <w:rPr>
          <w:b/>
          <w:bCs/>
        </w:rPr>
        <w:t xml:space="preserve">Portfolio </w:t>
      </w:r>
      <w:r w:rsidR="00100258">
        <w:rPr>
          <w:b/>
          <w:bCs/>
        </w:rPr>
        <w:t>W</w:t>
      </w:r>
      <w:r w:rsidRPr="0050712F">
        <w:rPr>
          <w:b/>
          <w:bCs/>
        </w:rPr>
        <w:t xml:space="preserve">eights and </w:t>
      </w:r>
      <w:r w:rsidR="00100258">
        <w:rPr>
          <w:b/>
          <w:bCs/>
        </w:rPr>
        <w:t>P</w:t>
      </w:r>
      <w:r w:rsidRPr="0050712F">
        <w:rPr>
          <w:b/>
          <w:bCs/>
        </w:rPr>
        <w:t xml:space="preserve">ortfolio </w:t>
      </w:r>
      <w:r w:rsidR="00100258">
        <w:rPr>
          <w:b/>
          <w:bCs/>
        </w:rPr>
        <w:t>R</w:t>
      </w:r>
      <w:r w:rsidRPr="0050712F">
        <w:rPr>
          <w:b/>
          <w:bCs/>
        </w:rPr>
        <w:t>eturn</w:t>
      </w:r>
      <w:r w:rsidR="00100258">
        <w:rPr>
          <w:b/>
          <w:bCs/>
        </w:rPr>
        <w:t>s</w:t>
      </w:r>
      <w:r w:rsidRPr="0050712F">
        <w:rPr>
          <w:b/>
          <w:bCs/>
        </w:rPr>
        <w:t xml:space="preserve"> </w:t>
      </w:r>
    </w:p>
    <w:p w14:paraId="200218A5" w14:textId="63DC8EA5" w:rsidR="00AB0443" w:rsidRDefault="00AB0443" w:rsidP="00AB0443">
      <w:pPr>
        <w:spacing w:after="0" w:line="480" w:lineRule="auto"/>
        <w:ind w:firstLine="720"/>
      </w:pPr>
      <w:r>
        <w:t xml:space="preserve">Since the portfolio is </w:t>
      </w:r>
      <w:proofErr w:type="gramStart"/>
      <w:r>
        <w:t>equal-weighted</w:t>
      </w:r>
      <w:proofErr w:type="gramEnd"/>
      <w:r>
        <w:t xml:space="preserve"> with 12 ETFs, each ETF gets the same share of the portfolio:</w:t>
      </w:r>
    </w:p>
    <w:p w14:paraId="266FBF9D" w14:textId="79DA230A" w:rsidR="00B2105A" w:rsidRDefault="00435CE0" w:rsidP="00165665">
      <w:pPr>
        <w:spacing w:after="0" w:line="480" w:lineRule="auto"/>
        <w:ind w:left="720"/>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12</m:t>
              </m:r>
              <m:ctrlPr>
                <w:rPr>
                  <w:rFonts w:ascii="Cambria Math" w:hAnsi="Cambria Math"/>
                  <w:i/>
                </w:rPr>
              </m:ctrlPr>
            </m:den>
          </m:f>
          <m:r>
            <m:rPr>
              <m:sty m:val="p"/>
            </m:rPr>
            <w:rPr>
              <w:rFonts w:ascii="Cambria Math" w:hAnsi="Cambria Math"/>
            </w:rPr>
            <m:t>≈</m:t>
          </m:r>
          <m:r>
            <m:rPr>
              <m:nor/>
            </m:rPr>
            <w:rPr>
              <w:rFonts w:ascii="Cambria Math" w:hAnsi="Cambria Math"/>
              <w:iCs/>
            </w:rPr>
            <m:t>8.33%.</m:t>
          </m:r>
          <m:r>
            <m:rPr>
              <m:sty m:val="p"/>
            </m:rPr>
            <w:br/>
          </m:r>
        </m:oMath>
      </m:oMathPara>
      <w:r w:rsidR="00480AF1">
        <w:t>Portfolio daily return is the weighted average of ETF daily returns:</w:t>
      </w:r>
      <w:r w:rsidR="00480AF1">
        <w:br/>
      </w:r>
      <m:oMathPara>
        <m:oMath>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12</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i,t</m:t>
                      </m:r>
                    </m:sub>
                  </m:sSub>
                </m:e>
              </m:d>
            </m:e>
          </m:nary>
        </m:oMath>
      </m:oMathPara>
    </w:p>
    <w:p w14:paraId="2816B112" w14:textId="78B15FF5" w:rsidR="00B2105A" w:rsidRDefault="00165665" w:rsidP="00730C30">
      <w:pPr>
        <w:spacing w:after="0" w:line="480" w:lineRule="auto"/>
        <w:ind w:firstLine="720"/>
        <w:jc w:val="both"/>
      </w:pPr>
      <w:r>
        <w:t xml:space="preserve">If an ETF is a </w:t>
      </w:r>
      <w:r w:rsidR="00730C30">
        <w:t xml:space="preserve">larger part of </w:t>
      </w:r>
      <w:r w:rsidR="0029574A">
        <w:t>the</w:t>
      </w:r>
      <w:r w:rsidR="00730C30">
        <w:t xml:space="preserve"> portfolio, it should have a greater impact on the portfol</w:t>
      </w:r>
      <w:r w:rsidR="0042042B">
        <w:t>io.</w:t>
      </w:r>
      <w:r w:rsidR="007F6971">
        <w:t xml:space="preserve"> </w:t>
      </w:r>
      <w:r w:rsidR="0042042B">
        <w:t>W</w:t>
      </w:r>
      <w:r>
        <w:t xml:space="preserve">eights </w:t>
      </w:r>
      <m:oMath>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e>
        </m:d>
        <m:r>
          <w:rPr>
            <w:rFonts w:ascii="Cambria Math" w:hAnsi="Cambria Math"/>
          </w:rPr>
          <m:t xml:space="preserve"> </m:t>
        </m:r>
      </m:oMath>
      <w:r>
        <w:t xml:space="preserve">control that influence. </w:t>
      </w:r>
      <w:r w:rsidR="0042042B">
        <w:t>In my current portfolio,</w:t>
      </w:r>
      <w:r>
        <w:t xml:space="preserve"> each ETF contributes equally.</w:t>
      </w:r>
      <w:r w:rsidR="00A135F1">
        <w:t xml:space="preserve"> </w:t>
      </w:r>
      <w:r w:rsidR="00231ED9" w:rsidRPr="00231ED9">
        <w:t xml:space="preserve">The main lesson from this setup is that equal weighting is a useful baseline for measuring risk, not a complete investment strategy. The −21.52% maximum </w:t>
      </w:r>
      <w:r w:rsidR="00231ED9" w:rsidRPr="00231ED9">
        <w:lastRenderedPageBreak/>
        <w:t>drawdown shows that even a broadly spread equal-weight portfolio can still suffer meaningful losses when broader market factors move against many holdings at once. Correlation and tail-risk metrics</w:t>
      </w:r>
      <w:r w:rsidR="00231ED9">
        <w:t>,</w:t>
      </w:r>
      <w:r w:rsidR="00231ED9" w:rsidRPr="00231ED9">
        <w:t xml:space="preserve"> therefore</w:t>
      </w:r>
      <w:r w:rsidR="00231ED9">
        <w:t>,</w:t>
      </w:r>
      <w:r w:rsidR="00231ED9" w:rsidRPr="00231ED9">
        <w:t xml:space="preserve"> help test whether the portfolio is truly diversified, especially during stressed markets.</w:t>
      </w:r>
    </w:p>
    <w:p w14:paraId="0993BA83" w14:textId="041F0F35" w:rsidR="00B2105A" w:rsidRPr="00564D1F" w:rsidRDefault="00480AF1" w:rsidP="0050712F">
      <w:pPr>
        <w:pStyle w:val="Heading1"/>
        <w:numPr>
          <w:ilvl w:val="0"/>
          <w:numId w:val="12"/>
        </w:numPr>
        <w:spacing w:before="0" w:line="480" w:lineRule="auto"/>
        <w:jc w:val="both"/>
        <w:rPr>
          <w:color w:val="auto"/>
        </w:rPr>
      </w:pPr>
      <w:r w:rsidRPr="00564D1F">
        <w:rPr>
          <w:rFonts w:ascii="Times New Roman" w:eastAsia="Times New Roman" w:hAnsi="Times New Roman"/>
          <w:color w:val="auto"/>
          <w:sz w:val="24"/>
        </w:rPr>
        <w:t xml:space="preserve"> Portfolio </w:t>
      </w:r>
      <w:r w:rsidR="00100258">
        <w:rPr>
          <w:rFonts w:ascii="Times New Roman" w:eastAsia="Times New Roman" w:hAnsi="Times New Roman"/>
          <w:color w:val="auto"/>
          <w:sz w:val="24"/>
        </w:rPr>
        <w:t>V</w:t>
      </w:r>
      <w:r w:rsidRPr="00564D1F">
        <w:rPr>
          <w:rFonts w:ascii="Times New Roman" w:eastAsia="Times New Roman" w:hAnsi="Times New Roman"/>
          <w:color w:val="auto"/>
          <w:sz w:val="24"/>
        </w:rPr>
        <w:t>alue</w:t>
      </w:r>
      <w:r w:rsidR="00100258">
        <w:rPr>
          <w:rFonts w:ascii="Times New Roman" w:eastAsia="Times New Roman" w:hAnsi="Times New Roman"/>
          <w:color w:val="auto"/>
          <w:sz w:val="24"/>
        </w:rPr>
        <w:t>s</w:t>
      </w:r>
      <w:r w:rsidRPr="00564D1F">
        <w:rPr>
          <w:rFonts w:ascii="Times New Roman" w:eastAsia="Times New Roman" w:hAnsi="Times New Roman"/>
          <w:color w:val="auto"/>
          <w:sz w:val="24"/>
        </w:rPr>
        <w:t xml:space="preserve"> and </w:t>
      </w:r>
      <w:r w:rsidR="00100258">
        <w:rPr>
          <w:rFonts w:ascii="Times New Roman" w:eastAsia="Times New Roman" w:hAnsi="Times New Roman"/>
          <w:color w:val="auto"/>
          <w:sz w:val="24"/>
        </w:rPr>
        <w:t>C</w:t>
      </w:r>
      <w:r w:rsidRPr="00564D1F">
        <w:rPr>
          <w:rFonts w:ascii="Times New Roman" w:eastAsia="Times New Roman" w:hAnsi="Times New Roman"/>
          <w:color w:val="auto"/>
          <w:sz w:val="24"/>
        </w:rPr>
        <w:t xml:space="preserve">umulative </w:t>
      </w:r>
      <w:r w:rsidR="00100258">
        <w:rPr>
          <w:rFonts w:ascii="Times New Roman" w:eastAsia="Times New Roman" w:hAnsi="Times New Roman"/>
          <w:color w:val="auto"/>
          <w:sz w:val="24"/>
        </w:rPr>
        <w:t>R</w:t>
      </w:r>
      <w:r w:rsidRPr="00564D1F">
        <w:rPr>
          <w:rFonts w:ascii="Times New Roman" w:eastAsia="Times New Roman" w:hAnsi="Times New Roman"/>
          <w:color w:val="auto"/>
          <w:sz w:val="24"/>
        </w:rPr>
        <w:t>eturn</w:t>
      </w:r>
      <w:r w:rsidR="00100258">
        <w:rPr>
          <w:rFonts w:ascii="Times New Roman" w:eastAsia="Times New Roman" w:hAnsi="Times New Roman"/>
          <w:color w:val="auto"/>
          <w:sz w:val="24"/>
        </w:rPr>
        <w:t>s</w:t>
      </w:r>
      <w:r w:rsidRPr="00564D1F">
        <w:rPr>
          <w:rFonts w:ascii="Times New Roman" w:eastAsia="Times New Roman" w:hAnsi="Times New Roman"/>
          <w:color w:val="auto"/>
          <w:sz w:val="24"/>
        </w:rPr>
        <w:t xml:space="preserve"> </w:t>
      </w:r>
    </w:p>
    <w:p w14:paraId="0366E532" w14:textId="0483EA94" w:rsidR="00B2105A" w:rsidRDefault="00480AF1" w:rsidP="00B71DFE">
      <w:pPr>
        <w:spacing w:after="0" w:line="480" w:lineRule="auto"/>
        <w:ind w:firstLine="720"/>
        <w:jc w:val="both"/>
      </w:pPr>
      <w:r>
        <w:t xml:space="preserve">Portfolio value tracks how your money grows or shrinks over time. Let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t xml:space="preserve"> be the starting value, and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t xml:space="preserve"> be the value on </w:t>
      </w:r>
      <w:r w:rsidR="000C0C2E">
        <w:t xml:space="preserve">the </w:t>
      </w:r>
      <w:r>
        <w:t xml:space="preserve">day </w:t>
      </w:r>
      <m:oMath>
        <m:r>
          <w:rPr>
            <w:rFonts w:ascii="Cambria Math" w:hAnsi="Cambria Math"/>
          </w:rPr>
          <m:t>t</m:t>
        </m:r>
      </m:oMath>
      <w:r>
        <w:t>.</w:t>
      </w:r>
    </w:p>
    <w:p w14:paraId="3F49F02B" w14:textId="77777777" w:rsidR="00BA2F16" w:rsidRDefault="00480AF1" w:rsidP="00B71DFE">
      <w:pPr>
        <w:spacing w:after="0" w:line="480" w:lineRule="auto"/>
        <w:ind w:firstLine="720"/>
        <w:jc w:val="both"/>
      </w:pPr>
      <w:r>
        <w:t>Portfolio value updates by compounding daily returns:</w:t>
      </w:r>
    </w:p>
    <w:p w14:paraId="384431DD" w14:textId="0C189C47" w:rsidR="00B2105A" w:rsidRPr="002B0962" w:rsidRDefault="00435CE0" w:rsidP="002B0962">
      <w:pPr>
        <w:spacing w:after="0" w:line="480" w:lineRule="auto"/>
        <w:rPr>
          <w:rFonts w:ascii="Cambria Math" w:hAnsi="Cambria Math"/>
          <w:i/>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t-1</m:t>
              </m:r>
            </m:sub>
          </m:sSub>
          <m:d>
            <m:dPr>
              <m:ctrlPr>
                <w:rPr>
                  <w:rFonts w:ascii="Cambria Math" w:hAnsi="Cambria Math"/>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p,t</m:t>
                  </m:r>
                </m:sub>
              </m:sSub>
              <m:ctrlPr>
                <w:rPr>
                  <w:rFonts w:ascii="Cambria Math" w:hAnsi="Cambria Math"/>
                  <w:i/>
                </w:rPr>
              </m:ctrlPr>
            </m:e>
          </m:d>
          <m:r>
            <w:rPr>
              <w:rFonts w:ascii="Cambria Math" w:hAnsi="Cambria Math"/>
            </w:rPr>
            <m:t>.</m:t>
          </m:r>
        </m:oMath>
      </m:oMathPara>
    </w:p>
    <w:p w14:paraId="61E4B2F3" w14:textId="5F158EBB" w:rsidR="00B2105A" w:rsidRDefault="00480AF1" w:rsidP="002B0962">
      <w:pPr>
        <w:spacing w:after="0" w:line="480" w:lineRule="auto"/>
        <w:ind w:firstLine="720"/>
      </w:pPr>
      <w:r>
        <w:t>Cumulative return compares today’s value to the starting value:</w:t>
      </w:r>
      <w:r>
        <w:br/>
      </w:r>
      <w:proofErr w:type="spellStart"/>
      <m:oMathPara>
        <m:oMath>
          <m:r>
            <m:rPr>
              <m:nor/>
            </m:rPr>
            <w:rPr>
              <w:rFonts w:ascii="Cambria Math" w:hAnsi="Cambria Math"/>
            </w:rPr>
            <m:t>CumRetur</m:t>
          </m:r>
          <w:proofErr w:type="spellEnd"/>
          <m:sSub>
            <m:sSubPr>
              <m:ctrlPr>
                <w:rPr>
                  <w:rFonts w:ascii="Cambria Math" w:hAnsi="Cambria Math"/>
                </w:rPr>
              </m:ctrlPr>
            </m:sSubPr>
            <m:e>
              <m:r>
                <m:rPr>
                  <m:nor/>
                </m:rPr>
                <w:rPr>
                  <w:rFonts w:ascii="Cambria Math" w:hAnsi="Cambria Math"/>
                </w:rPr>
                <m:t>n</m:t>
              </m:r>
            </m:e>
            <m:sub>
              <m:r>
                <m:rPr>
                  <m:nor/>
                </m:rP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0</m:t>
                  </m:r>
                </m:sub>
              </m:sSub>
              <m:ctrlPr>
                <w:rPr>
                  <w:rFonts w:ascii="Cambria Math" w:hAnsi="Cambria Math"/>
                  <w:i/>
                </w:rPr>
              </m:ctrlPr>
            </m:den>
          </m:f>
          <m:r>
            <w:rPr>
              <w:rFonts w:ascii="Cambria Math" w:hAnsi="Cambria Math"/>
            </w:rPr>
            <m:t>-1.</m:t>
          </m:r>
        </m:oMath>
      </m:oMathPara>
    </w:p>
    <w:p w14:paraId="1DB20EF0" w14:textId="4DAE73E2" w:rsidR="00B2105A" w:rsidRDefault="000B714E" w:rsidP="002C65C6">
      <w:pPr>
        <w:spacing w:after="0" w:line="480" w:lineRule="auto"/>
        <w:ind w:firstLine="720"/>
        <w:jc w:val="both"/>
      </w:pPr>
      <w:r>
        <w:t xml:space="preserve">The </w:t>
      </w:r>
      <w:r w:rsidR="0005181E" w:rsidRPr="0005181E">
        <w:rPr>
          <w:b/>
          <w:bCs/>
        </w:rPr>
        <w:t>c</w:t>
      </w:r>
      <w:r w:rsidR="006151FA" w:rsidRPr="0005181E">
        <w:rPr>
          <w:b/>
          <w:bCs/>
        </w:rPr>
        <w:t>umulative return</w:t>
      </w:r>
      <w:r w:rsidR="0005181E">
        <w:t xml:space="preserve"> of my portfolio is </w:t>
      </w:r>
      <w:r w:rsidR="0005181E" w:rsidRPr="0005181E">
        <w:rPr>
          <w:b/>
          <w:bCs/>
        </w:rPr>
        <w:t>46%</w:t>
      </w:r>
      <w:r w:rsidR="0005181E">
        <w:t xml:space="preserve">. </w:t>
      </w:r>
      <w:r w:rsidR="006151FA" w:rsidRPr="006151FA">
        <w:t>The risk</w:t>
      </w:r>
      <w:r w:rsidR="00AF5BDD">
        <w:t xml:space="preserve"> </w:t>
      </w:r>
      <w:r w:rsidR="006151FA" w:rsidRPr="006151FA">
        <w:t xml:space="preserve">signal appears when </w:t>
      </w:r>
      <w:r w:rsidR="00AF5BDD">
        <w:t>I</w:t>
      </w:r>
      <w:r w:rsidR="006151FA" w:rsidRPr="006151FA">
        <w:t xml:space="preserve"> connect cumulative return to drawdowns. </w:t>
      </w:r>
      <w:r w:rsidR="00AF5BDD">
        <w:t>My portfolio</w:t>
      </w:r>
      <w:r w:rsidR="006151FA" w:rsidRPr="006151FA">
        <w:t xml:space="preserve"> </w:t>
      </w:r>
      <w:r w:rsidR="00AF5BDD">
        <w:t xml:space="preserve">eventually </w:t>
      </w:r>
      <w:r w:rsidR="006151FA" w:rsidRPr="006151FA">
        <w:t>grow</w:t>
      </w:r>
      <w:r w:rsidR="00AF5BDD">
        <w:t>s</w:t>
      </w:r>
      <w:r w:rsidR="006151FA" w:rsidRPr="006151FA">
        <w:t xml:space="preserve"> over 5 years</w:t>
      </w:r>
      <w:r w:rsidR="00D0363A">
        <w:t>,</w:t>
      </w:r>
      <w:r w:rsidR="006151FA" w:rsidRPr="006151FA">
        <w:t xml:space="preserve"> but still </w:t>
      </w:r>
      <w:r w:rsidR="00AF5BDD">
        <w:t>imposes</w:t>
      </w:r>
      <w:r w:rsidR="006151FA" w:rsidRPr="006151FA">
        <w:t xml:space="preserve"> large temporary losses along the way</w:t>
      </w:r>
      <w:r w:rsidR="00AF5BDD">
        <w:t xml:space="preserve"> (</w:t>
      </w:r>
      <w:r w:rsidR="006151FA" w:rsidRPr="006151FA">
        <w:t xml:space="preserve">a </w:t>
      </w:r>
      <w:r w:rsidR="006151FA" w:rsidRPr="00AF5BDD">
        <w:t>−2</w:t>
      </w:r>
      <w:r w:rsidR="00574ACA">
        <w:t>1.52</w:t>
      </w:r>
      <w:r w:rsidR="006151FA" w:rsidRPr="00AF5BDD">
        <w:t>%</w:t>
      </w:r>
      <w:r w:rsidR="006151FA" w:rsidRPr="006151FA">
        <w:t xml:space="preserve"> max drawdown</w:t>
      </w:r>
      <w:r w:rsidR="00AF5BDD">
        <w:t>)</w:t>
      </w:r>
      <w:r w:rsidR="006151FA" w:rsidRPr="006151FA">
        <w:t>.</w:t>
      </w:r>
      <w:r w:rsidR="00FB13B2">
        <w:t xml:space="preserve"> If</w:t>
      </w:r>
      <w:r w:rsidR="006151FA" w:rsidRPr="006151FA">
        <w:t xml:space="preserve"> </w:t>
      </w:r>
      <w:r w:rsidR="00AF5BDD">
        <w:t>my</w:t>
      </w:r>
      <w:r w:rsidR="006151FA" w:rsidRPr="006151FA">
        <w:t xml:space="preserve"> horizon is short, this drawdown risk may be unacceptable</w:t>
      </w:r>
      <w:r w:rsidR="00AF5BDD">
        <w:t xml:space="preserve">. Yet, </w:t>
      </w:r>
      <w:r w:rsidR="006151FA" w:rsidRPr="006151FA">
        <w:t xml:space="preserve">if </w:t>
      </w:r>
      <w:r w:rsidR="00AF5BDD">
        <w:t>my</w:t>
      </w:r>
      <w:r w:rsidR="006151FA" w:rsidRPr="006151FA">
        <w:t xml:space="preserve"> horizon is long, th</w:t>
      </w:r>
      <w:r w:rsidR="00AF5BDD">
        <w:t>is</w:t>
      </w:r>
      <w:r w:rsidR="006151FA" w:rsidRPr="006151FA">
        <w:t xml:space="preserve"> strategy may still be fine. </w:t>
      </w:r>
    </w:p>
    <w:p w14:paraId="52F3CDED" w14:textId="4DA4B7E5" w:rsidR="00B2105A" w:rsidRPr="00564D1F" w:rsidRDefault="00480AF1" w:rsidP="0050712F">
      <w:pPr>
        <w:pStyle w:val="Heading1"/>
        <w:numPr>
          <w:ilvl w:val="0"/>
          <w:numId w:val="12"/>
        </w:numPr>
        <w:spacing w:before="0" w:line="480" w:lineRule="auto"/>
        <w:jc w:val="both"/>
        <w:rPr>
          <w:color w:val="auto"/>
        </w:rPr>
      </w:pPr>
      <w:r w:rsidRPr="00564D1F">
        <w:rPr>
          <w:rFonts w:ascii="Times New Roman" w:eastAsia="Times New Roman" w:hAnsi="Times New Roman"/>
          <w:color w:val="auto"/>
          <w:sz w:val="24"/>
        </w:rPr>
        <w:t>Drawdown</w:t>
      </w:r>
      <w:r w:rsidR="00100258">
        <w:rPr>
          <w:rFonts w:ascii="Times New Roman" w:eastAsia="Times New Roman" w:hAnsi="Times New Roman"/>
          <w:color w:val="auto"/>
          <w:sz w:val="24"/>
        </w:rPr>
        <w:t>s</w:t>
      </w:r>
      <w:r w:rsidRPr="00564D1F">
        <w:rPr>
          <w:rFonts w:ascii="Times New Roman" w:eastAsia="Times New Roman" w:hAnsi="Times New Roman"/>
          <w:color w:val="auto"/>
          <w:sz w:val="24"/>
        </w:rPr>
        <w:t xml:space="preserve"> and </w:t>
      </w:r>
      <w:r w:rsidR="00100258">
        <w:rPr>
          <w:rFonts w:ascii="Times New Roman" w:eastAsia="Times New Roman" w:hAnsi="Times New Roman"/>
          <w:color w:val="auto"/>
          <w:sz w:val="24"/>
        </w:rPr>
        <w:t>M</w:t>
      </w:r>
      <w:r w:rsidRPr="00564D1F">
        <w:rPr>
          <w:rFonts w:ascii="Times New Roman" w:eastAsia="Times New Roman" w:hAnsi="Times New Roman"/>
          <w:color w:val="auto"/>
          <w:sz w:val="24"/>
        </w:rPr>
        <w:t xml:space="preserve">aximum </w:t>
      </w:r>
      <w:r w:rsidR="00100258">
        <w:rPr>
          <w:rFonts w:ascii="Times New Roman" w:eastAsia="Times New Roman" w:hAnsi="Times New Roman"/>
          <w:color w:val="auto"/>
          <w:sz w:val="24"/>
        </w:rPr>
        <w:t>D</w:t>
      </w:r>
      <w:r w:rsidRPr="00564D1F">
        <w:rPr>
          <w:rFonts w:ascii="Times New Roman" w:eastAsia="Times New Roman" w:hAnsi="Times New Roman"/>
          <w:color w:val="auto"/>
          <w:sz w:val="24"/>
        </w:rPr>
        <w:t xml:space="preserve">rawdown </w:t>
      </w:r>
    </w:p>
    <w:p w14:paraId="6E15931B" w14:textId="77777777" w:rsidR="00103A03" w:rsidRDefault="00480AF1" w:rsidP="00103A03">
      <w:pPr>
        <w:spacing w:after="0" w:line="480" w:lineRule="auto"/>
        <w:ind w:firstLine="720"/>
        <w:jc w:val="both"/>
      </w:pPr>
      <w:r>
        <w:t xml:space="preserve">Cumulative return tells </w:t>
      </w:r>
      <w:r w:rsidR="002C65C6">
        <w:t>me</w:t>
      </w:r>
      <w:r>
        <w:t xml:space="preserve"> how </w:t>
      </w:r>
      <w:r w:rsidR="002C65C6">
        <w:t>the portfolio performs</w:t>
      </w:r>
      <w:r>
        <w:t xml:space="preserve"> versus the start. Drawdown tells </w:t>
      </w:r>
      <w:r w:rsidR="00103A03">
        <w:t>me</w:t>
      </w:r>
      <w:r>
        <w:t xml:space="preserve"> how far </w:t>
      </w:r>
      <w:r w:rsidR="00103A03">
        <w:t>the portfolio</w:t>
      </w:r>
      <w:r>
        <w:t xml:space="preserve"> </w:t>
      </w:r>
      <w:r w:rsidR="00103A03">
        <w:t>has fallen</w:t>
      </w:r>
      <w:r>
        <w:t xml:space="preserve"> from </w:t>
      </w:r>
      <w:r w:rsidR="00103A03">
        <w:t>the peak</w:t>
      </w:r>
      <w:r>
        <w:t xml:space="preserve"> so far.</w:t>
      </w:r>
    </w:p>
    <w:p w14:paraId="6DAFDE87" w14:textId="06077486" w:rsidR="00103A03" w:rsidRDefault="00480AF1" w:rsidP="00103A03">
      <w:pPr>
        <w:spacing w:after="0" w:line="480" w:lineRule="auto"/>
        <w:ind w:firstLine="720"/>
        <w:jc w:val="both"/>
      </w:pPr>
      <w:r>
        <w:t xml:space="preserve">First, </w:t>
      </w:r>
      <w:r w:rsidR="00103A03">
        <w:t xml:space="preserve">I find </w:t>
      </w:r>
      <w:r>
        <w:t xml:space="preserve">the best value reached to </w:t>
      </w:r>
      <w:r w:rsidR="00103A03">
        <w:t xml:space="preserve">the </w:t>
      </w:r>
      <w:r>
        <w:t xml:space="preserve">day </w:t>
      </w:r>
      <m:oMath>
        <m:r>
          <w:rPr>
            <w:rFonts w:ascii="Cambria Math" w:hAnsi="Cambria Math"/>
          </w:rPr>
          <m:t>t</m:t>
        </m:r>
      </m:oMath>
      <w:r>
        <w:t>:</w:t>
      </w:r>
    </w:p>
    <w:p w14:paraId="6F5642F5" w14:textId="7F4AA52E" w:rsidR="00B2105A" w:rsidRDefault="00480AF1" w:rsidP="00103A03">
      <w:pPr>
        <w:spacing w:after="0" w:line="480" w:lineRule="auto"/>
        <w:ind w:firstLine="720"/>
        <w:jc w:val="both"/>
      </w:pPr>
      <m:oMathPara>
        <m:oMath>
          <m:r>
            <m:rPr>
              <m:nor/>
            </m:rPr>
            <w:rPr>
              <w:rFonts w:ascii="Cambria Math" w:hAnsi="Cambria Math"/>
            </w:rPr>
            <m:t>Pea</m:t>
          </m:r>
          <m:sSub>
            <m:sSubPr>
              <m:ctrlPr>
                <w:rPr>
                  <w:rFonts w:ascii="Cambria Math" w:hAnsi="Cambria Math"/>
                </w:rPr>
              </m:ctrlPr>
            </m:sSubPr>
            <m:e>
              <m:r>
                <m:rPr>
                  <m:nor/>
                </m:rPr>
                <w:rPr>
                  <w:rFonts w:ascii="Cambria Math" w:hAnsi="Cambria Math"/>
                </w:rPr>
                <m:t>k</m:t>
              </m:r>
            </m:e>
            <m:sub>
              <m:r>
                <m:rPr>
                  <m:nor/>
                </m:rP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hAnsi="Cambria Math"/>
                      <w:i/>
                    </w:rPr>
                  </m:ctrlPr>
                </m:e>
              </m:d>
            </m:e>
          </m:func>
          <m:r>
            <w:rPr>
              <w:rFonts w:ascii="Cambria Math" w:hAnsi="Cambria Math"/>
            </w:rPr>
            <m:t>.</m:t>
          </m:r>
        </m:oMath>
      </m:oMathPara>
    </w:p>
    <w:p w14:paraId="334F40C2" w14:textId="1D65C071" w:rsidR="00B2105A" w:rsidRDefault="00480AF1" w:rsidP="00B71DFE">
      <w:pPr>
        <w:spacing w:after="0" w:line="480" w:lineRule="auto"/>
        <w:ind w:firstLine="720"/>
      </w:pPr>
      <w:r>
        <w:t>Drawdown is the percent drop from that peak:</w:t>
      </w:r>
      <w:r>
        <w:br/>
      </w:r>
      <m:oMathPara>
        <m:oMath>
          <m:r>
            <w:rPr>
              <w:rFonts w:ascii="Cambria Math" w:hAnsi="Cambria Math"/>
            </w:rPr>
            <w:lastRenderedPageBreak/>
            <m:t>D</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hAnsi="Cambria Math"/>
                  <w:i/>
                </w:rPr>
              </m:ctrlPr>
            </m:num>
            <m:den>
              <m:r>
                <m:rPr>
                  <m:nor/>
                </m:rPr>
                <w:rPr>
                  <w:rFonts w:ascii="Cambria Math" w:hAnsi="Cambria Math"/>
                </w:rPr>
                <m:t>Pea</m:t>
              </m:r>
              <m:sSub>
                <m:sSubPr>
                  <m:ctrlPr>
                    <w:rPr>
                      <w:rFonts w:ascii="Cambria Math" w:hAnsi="Cambria Math"/>
                    </w:rPr>
                  </m:ctrlPr>
                </m:sSubPr>
                <m:e>
                  <m:r>
                    <m:rPr>
                      <m:nor/>
                    </m:rPr>
                    <w:rPr>
                      <w:rFonts w:ascii="Cambria Math" w:hAnsi="Cambria Math"/>
                    </w:rPr>
                    <m:t>k</m:t>
                  </m:r>
                </m:e>
                <m:sub>
                  <m:r>
                    <m:rPr>
                      <m:nor/>
                    </m:rPr>
                    <w:rPr>
                      <w:rFonts w:ascii="Cambria Math" w:hAnsi="Cambria Math"/>
                    </w:rPr>
                    <m:t>t</m:t>
                  </m:r>
                </m:sub>
              </m:sSub>
              <m:ctrlPr>
                <w:rPr>
                  <w:rFonts w:ascii="Cambria Math" w:hAnsi="Cambria Math"/>
                  <w:i/>
                </w:rPr>
              </m:ctrlPr>
            </m:den>
          </m:f>
          <m:r>
            <w:rPr>
              <w:rFonts w:ascii="Cambria Math" w:hAnsi="Cambria Math"/>
            </w:rPr>
            <m:t>-1.</m:t>
          </m:r>
        </m:oMath>
      </m:oMathPara>
    </w:p>
    <w:p w14:paraId="02743456" w14:textId="3AAA53B6" w:rsidR="00B2105A" w:rsidRDefault="00B71DFE" w:rsidP="006B517A">
      <w:pPr>
        <w:spacing w:after="0" w:line="480" w:lineRule="auto"/>
        <w:ind w:firstLine="720"/>
        <w:jc w:val="both"/>
      </w:pPr>
      <w:r>
        <w:t>Drawdown is 0% whenever the portfolio hits a new peak, and negative whenever it is below the peak.</w:t>
      </w:r>
    </w:p>
    <w:p w14:paraId="44A067C6" w14:textId="3D1F1BE4" w:rsidR="00B2105A" w:rsidRPr="00DB6347" w:rsidRDefault="00480AF1" w:rsidP="006B517A">
      <w:pPr>
        <w:spacing w:after="0" w:line="480" w:lineRule="auto"/>
        <w:ind w:firstLine="720"/>
        <w:jc w:val="both"/>
        <w:rPr>
          <w:rFonts w:ascii="Cambria Math" w:hAnsi="Cambria Math"/>
          <w:i/>
        </w:rPr>
      </w:pPr>
      <w:r>
        <w:t>Maximum drawdown is the worst drawdown observed over the period:</w:t>
      </w:r>
      <w:r>
        <w:br/>
      </w:r>
      <m:oMathPara>
        <m:oMath>
          <m:r>
            <m:rPr>
              <m:nor/>
            </m:rPr>
            <w:rPr>
              <w:rFonts w:ascii="Cambria Math" w:hAnsi="Cambria Math"/>
            </w:rPr>
            <m:t>Max Drawdown</m:t>
          </m:r>
          <m:r>
            <w:rPr>
              <w:rFonts w:ascii="Cambria Math" w:hAnsi="Cambria Math"/>
            </w:rPr>
            <m:t>=</m:t>
          </m:r>
          <m:func>
            <m:funcPr>
              <m:ctrlPr>
                <w:rPr>
                  <w:rFonts w:ascii="Cambria Math" w:hAnsi="Cambria Math"/>
                </w:rPr>
              </m:ctrlPr>
            </m:funcPr>
            <m:fName>
              <m:r>
                <w:rPr>
                  <w:rFonts w:ascii="Cambria Math" w:hAnsi="Cambria Math"/>
                </w:rPr>
                <m:t>mi</m:t>
              </m:r>
              <m:sSub>
                <m:sSubPr>
                  <m:ctrlPr>
                    <w:rPr>
                      <w:rFonts w:ascii="Cambria Math" w:hAnsi="Cambria Math"/>
                      <w:i/>
                    </w:rPr>
                  </m:ctrlPr>
                </m:sSubPr>
                <m:e>
                  <m:r>
                    <w:rPr>
                      <w:rFonts w:ascii="Cambria Math" w:hAnsi="Cambria Math"/>
                    </w:rPr>
                    <m:t>n</m:t>
                  </m:r>
                </m:e>
                <m:sub>
                  <m:r>
                    <w:rPr>
                      <w:rFonts w:ascii="Cambria Math" w:hAnsi="Cambria Math"/>
                    </w:rPr>
                    <m:t>t</m:t>
                  </m:r>
                </m:sub>
              </m:sSub>
              <m:ctrlPr>
                <w:rPr>
                  <w:rFonts w:ascii="Cambria Math" w:hAnsi="Cambria Math"/>
                  <w:i/>
                </w:rPr>
              </m:ctrlPr>
            </m:fName>
            <m:e>
              <m:d>
                <m:dPr>
                  <m:ctrlPr>
                    <w:rPr>
                      <w:rFonts w:ascii="Cambria Math" w:hAnsi="Cambria Math"/>
                    </w:rPr>
                  </m:ctrlPr>
                </m:dPr>
                <m:e>
                  <m:r>
                    <w:rPr>
                      <w:rFonts w:ascii="Cambria Math" w:hAnsi="Cambria Math"/>
                    </w:rPr>
                    <m:t>D</m:t>
                  </m:r>
                  <m:sSub>
                    <m:sSubPr>
                      <m:ctrlPr>
                        <w:rPr>
                          <w:rFonts w:ascii="Cambria Math" w:hAnsi="Cambria Math"/>
                          <w:i/>
                        </w:rPr>
                      </m:ctrlPr>
                    </m:sSubPr>
                    <m:e>
                      <m:r>
                        <w:rPr>
                          <w:rFonts w:ascii="Cambria Math" w:hAnsi="Cambria Math"/>
                        </w:rPr>
                        <m:t>D</m:t>
                      </m:r>
                    </m:e>
                    <m:sub>
                      <m:r>
                        <w:rPr>
                          <w:rFonts w:ascii="Cambria Math" w:hAnsi="Cambria Math"/>
                        </w:rPr>
                        <m:t>t</m:t>
                      </m:r>
                    </m:sub>
                  </m:sSub>
                  <m:ctrlPr>
                    <w:rPr>
                      <w:rFonts w:ascii="Cambria Math" w:hAnsi="Cambria Math"/>
                      <w:i/>
                    </w:rPr>
                  </m:ctrlPr>
                </m:e>
              </m:d>
              <m:ctrlPr>
                <w:rPr>
                  <w:rFonts w:ascii="Cambria Math" w:hAnsi="Cambria Math"/>
                  <w:i/>
                </w:rPr>
              </m:ctrlPr>
            </m:e>
          </m:func>
          <m:r>
            <w:rPr>
              <w:rFonts w:ascii="Cambria Math" w:hAnsi="Cambria Math"/>
            </w:rPr>
            <m:t>.</m:t>
          </m:r>
        </m:oMath>
      </m:oMathPara>
    </w:p>
    <w:p w14:paraId="58B9FDE1" w14:textId="03FB7CDB" w:rsidR="00B2105A" w:rsidRDefault="00231ED9" w:rsidP="00CA351E">
      <w:pPr>
        <w:spacing w:after="0" w:line="480" w:lineRule="auto"/>
        <w:ind w:firstLine="720"/>
        <w:jc w:val="both"/>
      </w:pPr>
      <w:r w:rsidRPr="00231ED9">
        <w:t xml:space="preserve">My dashboard shows </w:t>
      </w:r>
      <w:r w:rsidRPr="00231ED9">
        <w:rPr>
          <w:b/>
          <w:bCs/>
        </w:rPr>
        <w:t>max drawdown = −21.52%</w:t>
      </w:r>
      <w:r w:rsidRPr="00231ED9">
        <w:t>, meaning the worst peak-to-trough drop in the last 5 years was −21.52%. While max drawdown does not predict the future, it gives a useful historical baseline for judging how painful past losses have been. Large drawdowns often suggest that correlations rose or that multiple risk factors moved against the portfolio at the same time. This project does not yet define a fully specified de-risking rule, so max drawdown should be read here as a monitoring signal rather than an automatic trading trigger.</w:t>
      </w:r>
      <w:r w:rsidR="00CA351E">
        <w:t xml:space="preserve"> </w:t>
      </w:r>
    </w:p>
    <w:p w14:paraId="724D909A" w14:textId="1D6B7906" w:rsidR="00B2105A" w:rsidRPr="00564D1F" w:rsidRDefault="00480AF1" w:rsidP="0050712F">
      <w:pPr>
        <w:pStyle w:val="Heading1"/>
        <w:numPr>
          <w:ilvl w:val="0"/>
          <w:numId w:val="12"/>
        </w:numPr>
        <w:spacing w:before="0" w:line="480" w:lineRule="auto"/>
        <w:jc w:val="both"/>
        <w:rPr>
          <w:color w:val="auto"/>
        </w:rPr>
      </w:pPr>
      <w:r w:rsidRPr="00564D1F">
        <w:rPr>
          <w:rFonts w:ascii="Times New Roman" w:eastAsia="Times New Roman" w:hAnsi="Times New Roman"/>
          <w:color w:val="auto"/>
          <w:sz w:val="24"/>
        </w:rPr>
        <w:t xml:space="preserve"> Volatility and </w:t>
      </w:r>
      <w:r w:rsidR="00100258">
        <w:rPr>
          <w:rFonts w:ascii="Times New Roman" w:eastAsia="Times New Roman" w:hAnsi="Times New Roman"/>
          <w:color w:val="auto"/>
          <w:sz w:val="24"/>
        </w:rPr>
        <w:t>A</w:t>
      </w:r>
      <w:r w:rsidRPr="00564D1F">
        <w:rPr>
          <w:rFonts w:ascii="Times New Roman" w:eastAsia="Times New Roman" w:hAnsi="Times New Roman"/>
          <w:color w:val="auto"/>
          <w:sz w:val="24"/>
        </w:rPr>
        <w:t xml:space="preserve">nnual </w:t>
      </w:r>
      <w:r w:rsidR="00100258">
        <w:rPr>
          <w:rFonts w:ascii="Times New Roman" w:eastAsia="Times New Roman" w:hAnsi="Times New Roman"/>
          <w:color w:val="auto"/>
          <w:sz w:val="24"/>
        </w:rPr>
        <w:t>V</w:t>
      </w:r>
      <w:r w:rsidRPr="00564D1F">
        <w:rPr>
          <w:rFonts w:ascii="Times New Roman" w:eastAsia="Times New Roman" w:hAnsi="Times New Roman"/>
          <w:color w:val="auto"/>
          <w:sz w:val="24"/>
        </w:rPr>
        <w:t xml:space="preserve">olatility </w:t>
      </w:r>
    </w:p>
    <w:p w14:paraId="24B16B6B" w14:textId="0EBD3CAC" w:rsidR="00B2105A" w:rsidRDefault="00480AF1" w:rsidP="0005638D">
      <w:pPr>
        <w:spacing w:after="0" w:line="480" w:lineRule="auto"/>
        <w:ind w:firstLine="720"/>
        <w:jc w:val="both"/>
      </w:pPr>
      <w:r>
        <w:t>Volatility</w:t>
      </w:r>
      <w:r w:rsidR="00C16648">
        <w:t xml:space="preserve"> (</w:t>
      </w:r>
      <m:oMath>
        <m:r>
          <m:rPr>
            <m:sty m:val="p"/>
          </m:rPr>
          <w:rPr>
            <w:rFonts w:ascii="Cambria Math" w:hAnsi="Cambria Math"/>
          </w:rPr>
          <m:t>σ)</m:t>
        </m:r>
      </m:oMath>
      <w:r>
        <w:t xml:space="preserve"> is a measure of how bumpy returns are. Bigger day-to-day swings mean higher volatility.</w:t>
      </w:r>
    </w:p>
    <w:p w14:paraId="025838DA" w14:textId="1BCE75A1" w:rsidR="00CD4221" w:rsidRPr="005F52C1" w:rsidRDefault="00480AF1" w:rsidP="005F52C1">
      <w:pPr>
        <w:spacing w:after="0" w:line="480" w:lineRule="auto"/>
        <w:ind w:firstLine="720"/>
        <w:jc w:val="both"/>
      </w:pPr>
      <w:r>
        <w:t>Daily volatility measures the typical size of daily deviations from the average daily</w:t>
      </w:r>
      <w:r w:rsidR="00623D8E">
        <w:t xml:space="preserve"> </w:t>
      </w:r>
      <w:r>
        <w:t>return</w:t>
      </w:r>
      <w:r w:rsidR="00026AB1">
        <w:t xml:space="preserve">. </w:t>
      </w:r>
      <w:r w:rsidR="00026AB1" w:rsidRPr="00026AB1">
        <w:t xml:space="preserve">Let </w:t>
      </w:r>
      <m:oMath>
        <m:sSub>
          <m:sSubPr>
            <m:ctrlPr>
              <w:rPr>
                <w:rFonts w:ascii="Cambria Math" w:hAnsi="Cambria Math"/>
                <w:i/>
              </w:rPr>
            </m:ctrlPr>
          </m:sSubPr>
          <m:e>
            <m:r>
              <w:rPr>
                <w:rFonts w:ascii="Cambria Math" w:hAnsi="Cambria Math"/>
              </w:rPr>
              <m:t>r</m:t>
            </m:r>
          </m:e>
          <m:sub>
            <m:r>
              <w:rPr>
                <w:rFonts w:ascii="Cambria Math" w:hAnsi="Cambria Math"/>
              </w:rPr>
              <m:t>p,1</m:t>
            </m:r>
          </m:sub>
        </m:sSub>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p,2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oMath>
      <w:r w:rsidR="00026AB1" w:rsidRPr="00026AB1">
        <w:t xml:space="preserve"> be the portfolio’s daily returns over </w:t>
      </w:r>
      <m:oMath>
        <m:r>
          <w:rPr>
            <w:rFonts w:ascii="Cambria Math" w:hAnsi="Cambria Math"/>
          </w:rPr>
          <m:t>T</m:t>
        </m:r>
      </m:oMath>
      <w:r w:rsidR="00026AB1" w:rsidRPr="00026AB1">
        <w:t xml:space="preserve"> trading days, and let </w:t>
      </w:r>
      <m:oMath>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oMath>
      <w:r w:rsidR="00026AB1" w:rsidRPr="00026AB1">
        <w:t>​ be the average daily return:</w:t>
      </w:r>
    </w:p>
    <w:p w14:paraId="2A8DE960" w14:textId="331E9D61" w:rsidR="00026AB1" w:rsidRPr="00026AB1" w:rsidRDefault="00435CE0" w:rsidP="005F52C1">
      <w:pPr>
        <w:spacing w:after="0" w:line="480" w:lineRule="auto"/>
        <w:ind w:firstLine="720"/>
        <w:jc w:val="both"/>
        <w:rPr>
          <w:rFonts w:ascii="Cambria Math" w:hAnsi="Cambria Math"/>
          <w:oMath/>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sSub>
                <m:sSubPr>
                  <m:ctrlPr>
                    <w:rPr>
                      <w:rFonts w:ascii="Cambria Math" w:hAnsi="Cambria Math"/>
                      <w:i/>
                    </w:rPr>
                  </m:ctrlPr>
                </m:sSubPr>
                <m:e>
                  <m:r>
                    <w:rPr>
                      <w:rFonts w:ascii="Cambria Math" w:hAnsi="Cambria Math"/>
                    </w:rPr>
                    <m:t>r</m:t>
                  </m:r>
                </m:e>
                <m:sub>
                  <m:r>
                    <w:rPr>
                      <w:rFonts w:ascii="Cambria Math" w:hAnsi="Cambria Math"/>
                    </w:rPr>
                    <m:t>p,t</m:t>
                  </m:r>
                </m:sub>
              </m:sSub>
              <m:ctrlPr>
                <w:rPr>
                  <w:rFonts w:ascii="Cambria Math" w:hAnsi="Cambria Math"/>
                  <w:i/>
                </w:rPr>
              </m:ctrlPr>
            </m:e>
          </m:nary>
          <m:r>
            <w:rPr>
              <w:rFonts w:ascii="Cambria Math" w:hAnsi="Cambria Math"/>
            </w:rPr>
            <m:t>.</m:t>
          </m:r>
        </m:oMath>
      </m:oMathPara>
    </w:p>
    <w:p w14:paraId="7714479C" w14:textId="6FD41086" w:rsidR="00E4001E" w:rsidRDefault="00AC3F1D" w:rsidP="00E4001E">
      <w:pPr>
        <w:spacing w:after="0" w:line="480" w:lineRule="auto"/>
        <w:ind w:firstLine="720"/>
      </w:pPr>
      <w:r>
        <w:t>Th</w:t>
      </w:r>
      <w:r w:rsidR="00E65BD1" w:rsidRPr="00E65BD1">
        <w:t>e deviati</w:t>
      </w:r>
      <w:r w:rsidR="002F50FA">
        <w:t>o</w:t>
      </w:r>
      <w:r w:rsidR="00E65BD1" w:rsidRPr="00E65BD1">
        <w:t>ns</w:t>
      </w:r>
      <w:r>
        <w:t xml:space="preserve"> must be squared</w:t>
      </w:r>
      <w:r w:rsidR="002F50FA">
        <w:t>,</w:t>
      </w:r>
      <w:r w:rsidR="00E65BD1" w:rsidRPr="00E65BD1">
        <w:t xml:space="preserve"> </w:t>
      </w:r>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e>
            </m:d>
            <m:ctrlPr>
              <w:rPr>
                <w:rFonts w:ascii="Cambria Math" w:hAnsi="Cambria Math"/>
              </w:rPr>
            </m:ctrlPr>
          </m:e>
          <m:sup>
            <m:r>
              <w:rPr>
                <w:rFonts w:ascii="Cambria Math" w:hAnsi="Cambria Math"/>
              </w:rPr>
              <m:t>2</m:t>
            </m:r>
          </m:sup>
        </m:sSup>
      </m:oMath>
      <w:r>
        <w:t>,</w:t>
      </w:r>
      <w:r w:rsidR="00E65BD1" w:rsidRPr="00E65BD1">
        <w:t xml:space="preserve"> so that positive and negative moves do not cancel out</w:t>
      </w:r>
      <w:r w:rsidR="00260CB0">
        <w:t>. T</w:t>
      </w:r>
      <w:r w:rsidR="00E65BD1" w:rsidRPr="00E65BD1">
        <w:t xml:space="preserve">he average of these squared deviations is called </w:t>
      </w:r>
      <w:r w:rsidR="00E65BD1" w:rsidRPr="00B6248B">
        <w:t>v</w:t>
      </w:r>
      <w:r w:rsidR="00B6248B">
        <w:t>a</w:t>
      </w:r>
      <w:r w:rsidR="00E65BD1" w:rsidRPr="00B6248B">
        <w:t>riance</w:t>
      </w:r>
      <w:r w:rsidR="00B6248B">
        <w:t>:</w:t>
      </w:r>
    </w:p>
    <w:p w14:paraId="14A1A4E1" w14:textId="600C26C7" w:rsidR="00E4001E" w:rsidRDefault="00B6248B" w:rsidP="00E4001E">
      <w:pPr>
        <w:spacing w:after="0" w:line="480" w:lineRule="auto"/>
        <w:ind w:firstLine="720"/>
      </w:pPr>
      <m:oMathPara>
        <m:oMath>
          <m:r>
            <m:rPr>
              <m:nor/>
            </m:rPr>
            <w:rPr>
              <w:rFonts w:ascii="Cambria Math" w:hAnsi="Cambria Math"/>
            </w:rPr>
            <w:lastRenderedPageBreak/>
            <m:t>Var</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σ</m:t>
              </m:r>
            </m:e>
            <m:sub>
              <m:r>
                <m:rPr>
                  <m:nor/>
                </m:rPr>
                <w:rPr>
                  <w:rFonts w:ascii="Cambria Math" w:hAnsi="Cambria Math"/>
                </w:rPr>
                <m:t>daily</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T-1</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e>
                  </m:d>
                  <m:ctrlPr>
                    <w:rPr>
                      <w:rFonts w:ascii="Cambria Math" w:hAnsi="Cambria Math"/>
                    </w:rPr>
                  </m:ctrlPr>
                </m:e>
                <m:sup>
                  <m:r>
                    <w:rPr>
                      <w:rFonts w:ascii="Cambria Math" w:hAnsi="Cambria Math"/>
                    </w:rPr>
                    <m:t>2</m:t>
                  </m:r>
                </m:sup>
              </m:sSup>
              <m:r>
                <w:rPr>
                  <w:rFonts w:ascii="Cambria Math" w:hAnsi="Cambria Math"/>
                </w:rPr>
                <m:t>.</m:t>
              </m:r>
            </m:e>
          </m:nary>
        </m:oMath>
      </m:oMathPara>
    </w:p>
    <w:p w14:paraId="37FB2119" w14:textId="5321B9CC" w:rsidR="002B46CD" w:rsidRDefault="00531AEC" w:rsidP="00531AEC">
      <w:pPr>
        <w:spacing w:after="0" w:line="480" w:lineRule="auto"/>
        <w:ind w:firstLine="720"/>
        <w:jc w:val="both"/>
      </w:pPr>
      <w:r>
        <w:t>Dividing</w:t>
      </w:r>
      <w:r w:rsidR="00E65BD1" w:rsidRPr="00E65BD1">
        <w:t xml:space="preserve"> by </w:t>
      </w:r>
      <m:oMath>
        <m:r>
          <w:rPr>
            <w:rFonts w:ascii="Cambria Math" w:hAnsi="Cambria Math"/>
          </w:rPr>
          <m:t>T-1</m:t>
        </m:r>
      </m:oMath>
      <w:r>
        <w:t xml:space="preserve"> </w:t>
      </w:r>
      <w:r w:rsidR="00E65BD1" w:rsidRPr="00E65BD1">
        <w:t>corrects for the fact that the mean is estimated from the same data.</w:t>
      </w:r>
      <w:r w:rsidR="003A5E93">
        <w:t xml:space="preserve"> </w:t>
      </w:r>
      <w:r w:rsidR="006F7848" w:rsidRPr="006F7848">
        <w:t xml:space="preserve">Once the mean is fixed, the deviations </w:t>
      </w:r>
      <m:oMath>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e>
        </m:d>
        <m:r>
          <w:rPr>
            <w:rFonts w:ascii="Cambria Math" w:hAnsi="Cambria Math"/>
          </w:rPr>
          <m:t xml:space="preserve"> </m:t>
        </m:r>
      </m:oMath>
      <w:r w:rsidR="006F7848" w:rsidRPr="006F7848">
        <w:t>must add up to zero</w:t>
      </w:r>
      <w:r w:rsidR="002B46CD">
        <w:t>:</w:t>
      </w:r>
    </w:p>
    <w:p w14:paraId="412B9E34" w14:textId="77777777" w:rsidR="002B46CD" w:rsidRPr="002B46CD" w:rsidRDefault="00435CE0" w:rsidP="002B46CD">
      <w:pPr>
        <w:spacing w:after="0" w:line="480" w:lineRule="auto"/>
        <w:ind w:firstLine="720"/>
        <w:jc w:val="both"/>
      </w:pPr>
      <m:oMathPara>
        <m:oMath>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e>
              </m:d>
            </m:e>
          </m:nary>
          <m:r>
            <w:rPr>
              <w:rFonts w:ascii="Cambria Math" w:hAnsi="Cambria Math"/>
            </w:rPr>
            <m:t>=0.</m:t>
          </m:r>
        </m:oMath>
      </m:oMathPara>
    </w:p>
    <w:p w14:paraId="282E954F" w14:textId="77777777" w:rsidR="00260CB0" w:rsidRDefault="002B46CD" w:rsidP="00891760">
      <w:pPr>
        <w:spacing w:after="0" w:line="480" w:lineRule="auto"/>
        <w:ind w:firstLine="720"/>
        <w:jc w:val="both"/>
      </w:pPr>
      <w:r>
        <w:t xml:space="preserve">Therefore, </w:t>
      </w:r>
      <w:r w:rsidR="006F7848" w:rsidRPr="006F7848">
        <w:t xml:space="preserve">only </w:t>
      </w:r>
      <m:oMath>
        <m:r>
          <w:rPr>
            <w:rFonts w:ascii="Cambria Math" w:hAnsi="Cambria Math"/>
          </w:rPr>
          <m:t>T-1</m:t>
        </m:r>
      </m:oMath>
      <w:r w:rsidR="006F7848" w:rsidRPr="006F7848">
        <w:t xml:space="preserve"> of them can </w:t>
      </w:r>
      <w:r>
        <w:t>behave independently</w:t>
      </w:r>
      <w:r w:rsidR="006F7848">
        <w:t xml:space="preserve"> because</w:t>
      </w:r>
      <w:r w:rsidR="006F7848" w:rsidRPr="006F7848">
        <w:t xml:space="preserve"> the last deviation is </w:t>
      </w:r>
      <w:r w:rsidR="006F7848">
        <w:t xml:space="preserve">dependent on the previous </w:t>
      </w:r>
      <w:r w:rsidR="000C3252">
        <w:t>deviations.</w:t>
      </w:r>
      <w:r w:rsidR="006F7848" w:rsidRPr="006F7848">
        <w:t xml:space="preserve"> This loss of one degree of freedom is why the sample variance uses </w:t>
      </w:r>
      <m:oMath>
        <m:r>
          <w:rPr>
            <w:rFonts w:ascii="Cambria Math" w:hAnsi="Cambria Math"/>
          </w:rPr>
          <m:t>T-1</m:t>
        </m:r>
      </m:oMath>
      <w:r w:rsidR="000C3252">
        <w:t>.</w:t>
      </w:r>
      <w:r w:rsidR="00891760">
        <w:t xml:space="preserve"> </w:t>
      </w:r>
    </w:p>
    <w:p w14:paraId="0B5E7AC7" w14:textId="358AC82F" w:rsidR="00891760" w:rsidRDefault="00E65BD1" w:rsidP="00891760">
      <w:pPr>
        <w:spacing w:after="0" w:line="480" w:lineRule="auto"/>
        <w:ind w:firstLine="720"/>
        <w:jc w:val="both"/>
      </w:pPr>
      <w:r w:rsidRPr="00E65BD1">
        <w:t xml:space="preserve">Variance is mathematically convenient because, under common assumptions, </w:t>
      </w:r>
      <w:r w:rsidRPr="00531AEC">
        <w:t>variances add across time</w:t>
      </w:r>
      <w:r w:rsidR="00891760">
        <w:t xml:space="preserve">. Yet, </w:t>
      </w:r>
      <w:r w:rsidRPr="00E65BD1">
        <w:t xml:space="preserve">it is expressed in </w:t>
      </w:r>
      <m:oMath>
        <m:sSup>
          <m:sSupPr>
            <m:ctrlPr>
              <w:rPr>
                <w:rFonts w:ascii="Cambria Math" w:hAnsi="Cambria Math"/>
                <w:i/>
              </w:rPr>
            </m:ctrlPr>
          </m:sSupPr>
          <m:e>
            <m:r>
              <w:rPr>
                <w:rFonts w:ascii="Cambria Math" w:hAnsi="Cambria Math"/>
              </w:rPr>
              <m:t>%</m:t>
            </m:r>
          </m:e>
          <m:sup>
            <m:r>
              <w:rPr>
                <w:rFonts w:ascii="Cambria Math" w:hAnsi="Cambria Math"/>
              </w:rPr>
              <m:t>2</m:t>
            </m:r>
          </m:sup>
        </m:sSup>
      </m:oMath>
      <w:r w:rsidRPr="00E65BD1">
        <w:t xml:space="preserve"> unit</w:t>
      </w:r>
      <w:r w:rsidR="00891760">
        <w:t>s, which is awkward to read</w:t>
      </w:r>
      <w:r w:rsidRPr="00E65BD1">
        <w:t xml:space="preserve">. </w:t>
      </w:r>
      <w:r w:rsidR="00891760">
        <w:t>Therefore</w:t>
      </w:r>
      <w:r w:rsidRPr="00E65BD1">
        <w:t xml:space="preserve">, </w:t>
      </w:r>
      <w:r w:rsidR="00891760">
        <w:t xml:space="preserve">finance </w:t>
      </w:r>
      <w:r w:rsidRPr="00E65BD1">
        <w:t>report</w:t>
      </w:r>
      <w:r w:rsidR="00891760">
        <w:t>s</w:t>
      </w:r>
      <w:r w:rsidRPr="00E65BD1">
        <w:t xml:space="preserve"> </w:t>
      </w:r>
      <w:r w:rsidRPr="00891760">
        <w:t>volatility</w:t>
      </w:r>
      <w:r w:rsidRPr="00E65BD1">
        <w:t xml:space="preserve"> as the square root of variance</w:t>
      </w:r>
      <w:r w:rsidR="00891760">
        <w:t>:</w:t>
      </w:r>
    </w:p>
    <w:p w14:paraId="045ADFB3" w14:textId="77777777" w:rsidR="00C75742" w:rsidRDefault="00435CE0" w:rsidP="00C75742">
      <w:pPr>
        <w:spacing w:after="0" w:line="480" w:lineRule="auto"/>
        <w:ind w:firstLine="720"/>
        <w:jc w:val="both"/>
      </w:pPr>
      <m:oMathPara>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daily</m:t>
              </m:r>
            </m:sub>
          </m:sSub>
          <m:r>
            <w:rPr>
              <w:rFonts w:ascii="Cambria Math" w:hAnsi="Cambria Math"/>
            </w:rPr>
            <m:t>=</m:t>
          </m:r>
          <m:rad>
            <m:radPr>
              <m:degHide m:val="1"/>
              <m:ctrlPr>
                <w:rPr>
                  <w:rFonts w:ascii="Cambria Math" w:hAnsi="Cambria Math"/>
                </w:rPr>
              </m:ctrlPr>
            </m:radPr>
            <m:deg/>
            <m:e>
              <m:r>
                <m:rPr>
                  <m:nor/>
                </m:rPr>
                <w:rPr>
                  <w:rFonts w:ascii="Cambria Math" w:hAnsi="Cambria Math"/>
                </w:rPr>
                <m:t>Var</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e>
              </m:d>
            </m:e>
          </m:rad>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T-1</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p</m:t>
                                  </m:r>
                                </m:sub>
                              </m:sSub>
                            </m:e>
                          </m:acc>
                        </m:e>
                      </m:d>
                      <m:ctrlPr>
                        <w:rPr>
                          <w:rFonts w:ascii="Cambria Math" w:hAnsi="Cambria Math"/>
                        </w:rPr>
                      </m:ctrlPr>
                    </m:e>
                    <m:sup>
                      <m:r>
                        <w:rPr>
                          <w:rFonts w:ascii="Cambria Math" w:hAnsi="Cambria Math"/>
                        </w:rPr>
                        <m:t>2</m:t>
                      </m:r>
                    </m:sup>
                  </m:sSup>
                </m:e>
              </m:nary>
            </m:e>
          </m:rad>
          <m:r>
            <w:rPr>
              <w:rFonts w:ascii="Cambria Math" w:hAnsi="Cambria Math"/>
            </w:rPr>
            <m:t>.</m:t>
          </m:r>
        </m:oMath>
      </m:oMathPara>
    </w:p>
    <w:p w14:paraId="672B14F9" w14:textId="1A77E362" w:rsidR="006C2B65" w:rsidRPr="006C2B65" w:rsidRDefault="00684C32" w:rsidP="00C75742">
      <w:pPr>
        <w:spacing w:after="0" w:line="480" w:lineRule="auto"/>
        <w:ind w:firstLine="720"/>
        <w:jc w:val="both"/>
      </w:pPr>
      <w:r>
        <w:t>This</w:t>
      </w:r>
      <w:r w:rsidR="00E65BD1" w:rsidRPr="00E65BD1">
        <w:t xml:space="preserve"> brings the result back to the same units as returns (percent) and can be interpreted as a typical daily fluctuation size. To express volatility on a yearly scale, finance commonly </w:t>
      </w:r>
      <w:r w:rsidR="00465BAE">
        <w:t>uses</w:t>
      </w:r>
      <w:r w:rsidR="00E65BD1" w:rsidRPr="00E65BD1">
        <w:t xml:space="preserve"> approximately 252 trading days per year</w:t>
      </w:r>
      <w:r w:rsidR="006C2B65">
        <w:t>:</w:t>
      </w:r>
      <w:r w:rsidR="00E65BD1" w:rsidRPr="00E65BD1">
        <w:t xml:space="preserve"> </w:t>
      </w:r>
    </w:p>
    <w:p w14:paraId="1E8797DB" w14:textId="52D9819A" w:rsidR="006C2B65" w:rsidRDefault="000D0A6A" w:rsidP="006C2B65">
      <w:pPr>
        <w:spacing w:after="0" w:line="480" w:lineRule="auto"/>
        <w:ind w:firstLine="720"/>
        <w:jc w:val="center"/>
      </w:pPr>
      <m:oMathPara>
        <m:oMath>
          <m:r>
            <m:rPr>
              <m:nor/>
            </m:rPr>
            <w:rPr>
              <w:rFonts w:ascii="Cambria Math" w:hAnsi="Cambria Math"/>
            </w:rPr>
            <m:t>Va</m:t>
          </m:r>
          <m:sSub>
            <m:sSubPr>
              <m:ctrlPr>
                <w:rPr>
                  <w:rFonts w:ascii="Cambria Math" w:hAnsi="Cambria Math"/>
                </w:rPr>
              </m:ctrlPr>
            </m:sSubPr>
            <m:e>
              <m:r>
                <m:rPr>
                  <m:nor/>
                </m:rPr>
                <w:rPr>
                  <w:rFonts w:ascii="Cambria Math" w:hAnsi="Cambria Math"/>
                </w:rPr>
                <m:t>r</m:t>
              </m:r>
            </m:e>
            <m:sub>
              <m:r>
                <m:rPr>
                  <m:nor/>
                </m:rPr>
                <w:rPr>
                  <w:rFonts w:ascii="Cambria Math" w:hAnsi="Cambria Math"/>
                </w:rPr>
                <m:t>ann</m:t>
              </m:r>
            </m:sub>
          </m:sSub>
          <m:r>
            <w:rPr>
              <w:rFonts w:ascii="Cambria Math" w:hAnsi="Cambria Math"/>
            </w:rPr>
            <m:t>=252 </m:t>
          </m:r>
          <m:sSubSup>
            <m:sSubSupPr>
              <m:ctrlPr>
                <w:rPr>
                  <w:rFonts w:ascii="Cambria Math" w:hAnsi="Cambria Math"/>
                  <w:i/>
                </w:rPr>
              </m:ctrlPr>
            </m:sSubSupPr>
            <m:e>
              <m:r>
                <m:rPr>
                  <m:sty m:val="p"/>
                </m:rPr>
                <w:rPr>
                  <w:rFonts w:ascii="Cambria Math" w:hAnsi="Cambria Math"/>
                </w:rPr>
                <m:t>σ</m:t>
              </m:r>
            </m:e>
            <m:sub>
              <m:r>
                <m:rPr>
                  <m:nor/>
                </m:rPr>
                <w:rPr>
                  <w:rFonts w:ascii="Cambria Math" w:hAnsi="Cambria Math"/>
                </w:rPr>
                <m:t>daily</m:t>
              </m:r>
            </m:sub>
            <m:sup>
              <m:r>
                <w:rPr>
                  <w:rFonts w:ascii="Cambria Math" w:hAnsi="Cambria Math"/>
                </w:rPr>
                <m:t>2</m:t>
              </m:r>
            </m:sup>
          </m:sSubSup>
          <m:r>
            <w:rPr>
              <w:rFonts w:ascii="Cambria Math" w:hAnsi="Cambria Math"/>
            </w:rPr>
            <m:t>​.</m:t>
          </m:r>
        </m:oMath>
      </m:oMathPara>
    </w:p>
    <w:p w14:paraId="74603968" w14:textId="12C1EBB2" w:rsidR="00E65BD1" w:rsidRPr="00891760" w:rsidRDefault="00592B5B" w:rsidP="00AE2E78">
      <w:pPr>
        <w:spacing w:after="0" w:line="480" w:lineRule="auto"/>
        <w:ind w:firstLine="720"/>
      </w:pPr>
      <w:r>
        <w:t>Therefore,</w:t>
      </w:r>
      <w:r w:rsidR="00E65BD1" w:rsidRPr="00E65BD1">
        <w:t xml:space="preserve"> annual volatility becomes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sty m:val="p"/>
              </m:rPr>
              <w:rPr>
                <w:rFonts w:ascii="Cambria Math" w:hAnsi="Cambria Math"/>
              </w:rPr>
              <m:t>ann</m:t>
            </m:r>
          </m:sub>
        </m:sSub>
        <m:r>
          <w:rPr>
            <w:rFonts w:ascii="Cambria Math" w:hAnsi="Cambria Math"/>
          </w:rPr>
          <m:t>=</m:t>
        </m:r>
        <m:rad>
          <m:radPr>
            <m:degHide m:val="1"/>
            <m:ctrlPr>
              <w:rPr>
                <w:rFonts w:ascii="Cambria Math" w:hAnsi="Cambria Math"/>
                <w:i/>
              </w:rPr>
            </m:ctrlPr>
          </m:radPr>
          <m:deg/>
          <m:e>
            <m:r>
              <m:rPr>
                <m:nor/>
              </m:rPr>
              <w:rPr>
                <w:rFonts w:ascii="Cambria Math" w:hAnsi="Cambria Math"/>
              </w:rPr>
              <m:t>Va</m:t>
            </m:r>
            <m:sSub>
              <m:sSubPr>
                <m:ctrlPr>
                  <w:rPr>
                    <w:rFonts w:ascii="Cambria Math" w:hAnsi="Cambria Math"/>
                  </w:rPr>
                </m:ctrlPr>
              </m:sSubPr>
              <m:e>
                <m:r>
                  <m:rPr>
                    <m:nor/>
                  </m:rPr>
                  <w:rPr>
                    <w:rFonts w:ascii="Cambria Math" w:hAnsi="Cambria Math"/>
                  </w:rPr>
                  <m:t>r</m:t>
                </m:r>
              </m:e>
              <m:sub>
                <m:r>
                  <m:rPr>
                    <m:nor/>
                  </m:rPr>
                  <w:rPr>
                    <w:rFonts w:ascii="Cambria Math" w:hAnsi="Cambria Math"/>
                  </w:rPr>
                  <m:t>ann</m:t>
                </m:r>
              </m:sub>
            </m:sSub>
          </m:e>
        </m:rad>
        <m:r>
          <w:rPr>
            <w:rFonts w:ascii="Cambria Math" w:hAnsi="Cambria Math"/>
          </w:rPr>
          <m:t>=</m:t>
        </m:r>
        <m:sSub>
          <m:sSubPr>
            <m:ctrlPr>
              <w:rPr>
                <w:rFonts w:ascii="Cambria Math" w:hAnsi="Cambria Math"/>
                <w:i/>
              </w:rPr>
            </m:ctrlPr>
          </m:sSubPr>
          <m:e>
            <m:r>
              <m:rPr>
                <m:sty m:val="p"/>
              </m:rPr>
              <w:rPr>
                <w:rFonts w:ascii="Cambria Math" w:hAnsi="Cambria Math"/>
              </w:rPr>
              <m:t>σ</m:t>
            </m:r>
          </m:e>
          <m:sub>
            <m:r>
              <m:rPr>
                <m:sty m:val="p"/>
              </m:rPr>
              <w:rPr>
                <w:rFonts w:ascii="Cambria Math" w:hAnsi="Cambria Math"/>
              </w:rPr>
              <m:t>daily</m:t>
            </m:r>
          </m:sub>
        </m:sSub>
        <m:rad>
          <m:radPr>
            <m:degHide m:val="1"/>
            <m:ctrlPr>
              <w:rPr>
                <w:rFonts w:ascii="Cambria Math" w:hAnsi="Cambria Math"/>
                <w:i/>
              </w:rPr>
            </m:ctrlPr>
          </m:radPr>
          <m:deg/>
          <m:e>
            <m:r>
              <w:rPr>
                <w:rFonts w:ascii="Cambria Math" w:hAnsi="Cambria Math"/>
              </w:rPr>
              <m:t>252</m:t>
            </m:r>
          </m:e>
        </m:rad>
      </m:oMath>
      <w:r w:rsidR="00AE2E78">
        <w:t>. T</w:t>
      </w:r>
      <w:r w:rsidR="00E65BD1" w:rsidRPr="00E65BD1">
        <w:t xml:space="preserve">his is why volatility scales with the </w:t>
      </w:r>
      <w:r w:rsidR="00E65BD1" w:rsidRPr="003D2CF9">
        <w:t>square root</w:t>
      </w:r>
      <w:r w:rsidR="00E65BD1" w:rsidRPr="00E65BD1">
        <w:t xml:space="preserve"> of time rather than multiplying directly by 252.</w:t>
      </w:r>
    </w:p>
    <w:p w14:paraId="75516CAB" w14:textId="45F9C897" w:rsidR="005C52FA" w:rsidRPr="005C52FA" w:rsidRDefault="00231ED9" w:rsidP="005C52FA">
      <w:pPr>
        <w:spacing w:after="0" w:line="480" w:lineRule="auto"/>
        <w:ind w:firstLine="720"/>
        <w:jc w:val="both"/>
        <w:rPr>
          <w:vanish/>
        </w:rPr>
      </w:pPr>
      <w:r w:rsidRPr="00231ED9">
        <w:t xml:space="preserve">My dashboard shows </w:t>
      </w:r>
      <w:r w:rsidRPr="00231ED9">
        <w:rPr>
          <w:b/>
          <w:bCs/>
        </w:rPr>
        <w:t>annual volatility = 11%</w:t>
      </w:r>
      <w:r w:rsidRPr="00231ED9">
        <w:t xml:space="preserve">. It describes how bumpy returns usually are under more normal conditions, not the worst-case loss. Annualized volatility is useful, but it is still an approximation because markets do not always behave in a stable </w:t>
      </w:r>
      <w:r w:rsidRPr="00231ED9">
        <w:lastRenderedPageBreak/>
        <w:t xml:space="preserve">way over time, </w:t>
      </w:r>
      <w:r>
        <w:t xml:space="preserve">and </w:t>
      </w:r>
      <w:r w:rsidRPr="00231ED9">
        <w:t>volatility often clusters during stressful periods. That is why a portfolio can show moderate annual volatility and still experience a much larger peak-to-trough drawdown. In this portfolio, drawdown, CVaR, and correlation provide extra information about what happens when losses cluster</w:t>
      </w:r>
      <w:r>
        <w:t>,</w:t>
      </w:r>
      <w:r w:rsidRPr="00231ED9">
        <w:t xml:space="preserve"> and diversification </w:t>
      </w:r>
      <w:r>
        <w:t>becomes</w:t>
      </w:r>
      <w:r w:rsidRPr="00231ED9">
        <w:t xml:space="preserve"> weaker</w:t>
      </w:r>
      <w:r w:rsidR="00340A5F" w:rsidRPr="00340A5F">
        <w:t>.</w:t>
      </w:r>
      <w:r w:rsidR="005C52FA" w:rsidRPr="005C52FA">
        <w:rPr>
          <w:vanish/>
        </w:rPr>
        <w:t>Top of Form</w:t>
      </w:r>
    </w:p>
    <w:p w14:paraId="4FC2D4E8" w14:textId="77777777" w:rsidR="005C52FA" w:rsidRPr="005C52FA" w:rsidRDefault="005C52FA" w:rsidP="005C52FA">
      <w:pPr>
        <w:spacing w:after="0" w:line="480" w:lineRule="auto"/>
        <w:ind w:firstLine="720"/>
        <w:jc w:val="both"/>
        <w:rPr>
          <w:vanish/>
        </w:rPr>
      </w:pPr>
      <w:r w:rsidRPr="005C52FA">
        <w:rPr>
          <w:vanish/>
        </w:rPr>
        <w:t>Bottom of Form</w:t>
      </w:r>
    </w:p>
    <w:p w14:paraId="74A0C672" w14:textId="77777777" w:rsidR="0018170F" w:rsidRDefault="0018170F" w:rsidP="00564D1F">
      <w:pPr>
        <w:pStyle w:val="Heading1"/>
        <w:spacing w:before="0" w:line="480" w:lineRule="auto"/>
        <w:jc w:val="both"/>
        <w:rPr>
          <w:rFonts w:ascii="Times New Roman" w:eastAsia="Times New Roman" w:hAnsi="Times New Roman"/>
          <w:color w:val="auto"/>
          <w:sz w:val="24"/>
        </w:rPr>
      </w:pPr>
    </w:p>
    <w:p w14:paraId="3455A411" w14:textId="2C781539" w:rsidR="00B2105A" w:rsidRPr="00564D1F" w:rsidRDefault="00480AF1" w:rsidP="0050712F">
      <w:pPr>
        <w:pStyle w:val="Heading1"/>
        <w:numPr>
          <w:ilvl w:val="0"/>
          <w:numId w:val="12"/>
        </w:numPr>
        <w:spacing w:before="0" w:line="480" w:lineRule="auto"/>
        <w:jc w:val="both"/>
        <w:rPr>
          <w:color w:val="auto"/>
        </w:rPr>
      </w:pPr>
      <w:r w:rsidRPr="00564D1F">
        <w:rPr>
          <w:rFonts w:ascii="Times New Roman" w:eastAsia="Times New Roman" w:hAnsi="Times New Roman"/>
          <w:color w:val="auto"/>
          <w:sz w:val="24"/>
        </w:rPr>
        <w:t xml:space="preserve">Correlation and </w:t>
      </w:r>
      <w:r w:rsidR="00100258">
        <w:rPr>
          <w:rFonts w:ascii="Times New Roman" w:eastAsia="Times New Roman" w:hAnsi="Times New Roman"/>
          <w:color w:val="auto"/>
          <w:sz w:val="24"/>
        </w:rPr>
        <w:t>D</w:t>
      </w:r>
      <w:r w:rsidRPr="00564D1F">
        <w:rPr>
          <w:rFonts w:ascii="Times New Roman" w:eastAsia="Times New Roman" w:hAnsi="Times New Roman"/>
          <w:color w:val="auto"/>
          <w:sz w:val="24"/>
        </w:rPr>
        <w:t>iversification</w:t>
      </w:r>
    </w:p>
    <w:p w14:paraId="547DE565" w14:textId="24776EA2" w:rsidR="00A74F0E" w:rsidRDefault="00F4244E" w:rsidP="00350C5D">
      <w:pPr>
        <w:spacing w:after="0" w:line="480" w:lineRule="auto"/>
        <w:ind w:firstLine="720"/>
        <w:jc w:val="both"/>
      </w:pPr>
      <w:r w:rsidRPr="00F4244E">
        <w:t xml:space="preserve">Correlation </w:t>
      </w:r>
      <w:r w:rsidR="009843A0">
        <w:t>(</w:t>
      </w:r>
      <m:oMath>
        <m:r>
          <m:rPr>
            <m:sty m:val="p"/>
          </m:rPr>
          <w:rPr>
            <w:rFonts w:ascii="Cambria Math" w:hAnsi="Cambria Math"/>
          </w:rPr>
          <m:t>ρ</m:t>
        </m:r>
      </m:oMath>
      <w:r w:rsidR="002F5013">
        <w:t xml:space="preserve">) </w:t>
      </w:r>
      <w:r w:rsidRPr="00F4244E">
        <w:t>measures how strongly two assets tend to move together on the same days</w:t>
      </w:r>
      <w:r w:rsidR="00D37D21">
        <w:t>.</w:t>
      </w:r>
      <w:r w:rsidRPr="00F4244E">
        <w:t xml:space="preserve"> </w:t>
      </w:r>
      <w:r w:rsidR="007D250A">
        <w:t xml:space="preserve">It reflects the idea of </w:t>
      </w:r>
      <w:r w:rsidR="00D37D21" w:rsidRPr="00D37D21">
        <w:t>diversification</w:t>
      </w:r>
      <w:r w:rsidR="007D250A">
        <w:t>:</w:t>
      </w:r>
      <w:r w:rsidR="00D37D21" w:rsidRPr="00D37D21">
        <w:t xml:space="preserve"> not just </w:t>
      </w:r>
      <w:r w:rsidR="00742D6C">
        <w:t xml:space="preserve">about </w:t>
      </w:r>
      <w:r w:rsidR="00D37D21" w:rsidRPr="00D37D21">
        <w:t>owning many tickers</w:t>
      </w:r>
      <w:r w:rsidR="00F3640C">
        <w:t>,</w:t>
      </w:r>
      <w:r w:rsidR="007D250A">
        <w:t xml:space="preserve"> but </w:t>
      </w:r>
      <w:r w:rsidR="00D37D21" w:rsidRPr="00D37D21">
        <w:t xml:space="preserve">combining assets </w:t>
      </w:r>
      <w:r w:rsidR="00C74CAF">
        <w:t>that can</w:t>
      </w:r>
      <w:r w:rsidR="00D37D21" w:rsidRPr="00D37D21">
        <w:t xml:space="preserve"> </w:t>
      </w:r>
      <w:r w:rsidR="00D37D21" w:rsidRPr="00742D6C">
        <w:t>reduce the portfolio’s overall risk</w:t>
      </w:r>
      <w:r w:rsidR="004C2440">
        <w:t xml:space="preserve">. </w:t>
      </w:r>
      <w:r w:rsidR="004C2440" w:rsidRPr="00565DC5">
        <w:t>A correlation near 1 means strong co-movement, near 0 means weak relationship, and negative values suggest offsetting behavior</w:t>
      </w:r>
      <w:r w:rsidR="00A74F0E">
        <w:t xml:space="preserve">: </w:t>
      </w:r>
    </w:p>
    <w:p w14:paraId="65ACAA10" w14:textId="2C051296" w:rsidR="002D4706" w:rsidRDefault="00435CE0" w:rsidP="00350C5D">
      <w:pPr>
        <w:spacing w:after="0" w:line="480" w:lineRule="auto"/>
        <w:ind w:firstLine="720"/>
        <w:jc w:val="both"/>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i,j</m:t>
              </m:r>
            </m:sub>
          </m:sSub>
          <m:r>
            <w:rPr>
              <w:rFonts w:ascii="Cambria Math" w:hAnsi="Cambria Math"/>
            </w:rPr>
            <m:t>=</m:t>
          </m:r>
          <m:f>
            <m:fPr>
              <m:ctrlPr>
                <w:rPr>
                  <w:rFonts w:ascii="Cambria Math" w:hAnsi="Cambria Math"/>
                </w:rPr>
              </m:ctrlPr>
            </m:fPr>
            <m:num>
              <m:r>
                <m:rPr>
                  <m:nor/>
                </m:rPr>
                <w:rPr>
                  <w:rFonts w:ascii="Cambria Math" w:hAnsi="Cambria Math"/>
                </w:rPr>
                <m:t>Cov</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e>
              </m:d>
              <m:ctrlPr>
                <w:rPr>
                  <w:rFonts w:ascii="Cambria Math" w:hAnsi="Cambria Math"/>
                  <w:i/>
                </w:rPr>
              </m:ctrlPr>
            </m:num>
            <m:den>
              <m:sSub>
                <m:sSubPr>
                  <m:ctrlPr>
                    <w:rPr>
                      <w:rFonts w:ascii="Cambria Math" w:hAnsi="Cambria Math"/>
                      <w:i/>
                    </w:rPr>
                  </m:ctrlPr>
                </m:sSubPr>
                <m:e>
                  <m:r>
                    <m:rPr>
                      <m:sty m:val="p"/>
                    </m:rPr>
                    <w:rPr>
                      <w:rFonts w:ascii="Cambria Math" w:hAnsi="Cambria Math"/>
                    </w:rPr>
                    <m:t>σ</m:t>
                  </m:r>
                </m:e>
                <m:sub>
                  <m:r>
                    <w:rPr>
                      <w:rFonts w:ascii="Cambria Math" w:hAnsi="Cambria Math"/>
                    </w:rPr>
                    <m:t>i</m:t>
                  </m:r>
                </m:sub>
              </m:sSub>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j</m:t>
                  </m:r>
                </m:sub>
              </m:sSub>
              <m:ctrlPr>
                <w:rPr>
                  <w:rFonts w:ascii="Cambria Math" w:hAnsi="Cambria Math"/>
                  <w:i/>
                </w:rPr>
              </m:ctrlPr>
            </m:den>
          </m:f>
          <m:r>
            <w:rPr>
              <w:rFonts w:ascii="Cambria Math" w:hAnsi="Cambria Math"/>
            </w:rPr>
            <m:t>.</m:t>
          </m:r>
        </m:oMath>
      </m:oMathPara>
    </w:p>
    <w:p w14:paraId="443F61F8" w14:textId="37E97FC5" w:rsidR="00B66323" w:rsidRDefault="00D37D21" w:rsidP="00B66323">
      <w:pPr>
        <w:spacing w:after="0" w:line="480" w:lineRule="auto"/>
        <w:ind w:firstLine="720"/>
        <w:jc w:val="both"/>
      </w:pPr>
      <w:r w:rsidRPr="00D37D21">
        <w:t xml:space="preserve"> </w:t>
      </w:r>
      <w:r w:rsidR="00C37EB9" w:rsidRPr="00C37EB9">
        <w:t>Covariance measures whether two assets tend to be above/below their averages on the same days</w:t>
      </w:r>
      <w:r w:rsidR="00CF3244">
        <w:t xml:space="preserve">. </w:t>
      </w:r>
      <w:r w:rsidR="00CF3244" w:rsidRPr="00CF3244">
        <w:t>Covariance is positive when two assets tend to be above/below their averages on the same days, and negative when they tend to move in opposite directions</w:t>
      </w:r>
      <w:r w:rsidR="00300F30">
        <w:t>:</w:t>
      </w:r>
    </w:p>
    <w:p w14:paraId="180032F6" w14:textId="4DD9E5C3" w:rsidR="003573E0" w:rsidRPr="0001325D" w:rsidRDefault="00B66323" w:rsidP="00BA0E18">
      <w:pPr>
        <w:spacing w:after="0" w:line="480" w:lineRule="auto"/>
        <w:ind w:firstLine="720"/>
        <w:jc w:val="both"/>
      </w:pPr>
      <w:proofErr w:type="spellStart"/>
      <m:oMathPara>
        <m:oMath>
          <m:r>
            <m:rPr>
              <m:nor/>
            </m:rPr>
            <w:rPr>
              <w:rFonts w:ascii="Cambria Math" w:hAnsi="Cambria Math"/>
            </w:rPr>
            <m:t>Cov</m:t>
          </m:r>
          <w:proofErr w:type="spellEnd"/>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T-1</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i</m:t>
                          </m:r>
                        </m:sub>
                      </m:sSub>
                    </m:e>
                  </m:acc>
                </m:e>
              </m:d>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j,t</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j</m:t>
                          </m:r>
                        </m:sub>
                      </m:sSub>
                    </m:e>
                  </m:acc>
                  <m:ctrlPr>
                    <w:rPr>
                      <w:rFonts w:ascii="Cambria Math" w:hAnsi="Cambria Math"/>
                      <w:i/>
                    </w:rPr>
                  </m:ctrlPr>
                </m:e>
              </m:d>
            </m:e>
          </m:nary>
          <m:r>
            <w:rPr>
              <w:rFonts w:ascii="Cambria Math" w:hAnsi="Cambria Math"/>
            </w:rPr>
            <m:t>.</m:t>
          </m:r>
        </m:oMath>
      </m:oMathPara>
    </w:p>
    <w:p w14:paraId="5E817D27" w14:textId="6AAF81B4" w:rsidR="00A11545" w:rsidRDefault="00480AF1" w:rsidP="009C1220">
      <w:pPr>
        <w:spacing w:after="0" w:line="480" w:lineRule="auto"/>
        <w:ind w:firstLine="720"/>
        <w:jc w:val="both"/>
      </w:pPr>
      <w:r>
        <w:t>Avg Corr to SPY is the average of each ETF’s correlation with SPY (excluding SPY itse</w:t>
      </w:r>
      <w:r w:rsidR="00DC0795">
        <w:t>lf):</w:t>
      </w:r>
    </w:p>
    <w:p w14:paraId="35B8429A" w14:textId="0D1770EB" w:rsidR="00B2105A" w:rsidRPr="00CA4B0B" w:rsidRDefault="00435CE0" w:rsidP="00A11545">
      <w:pPr>
        <w:spacing w:after="0" w:line="480" w:lineRule="auto"/>
        <w:rPr>
          <w:rFonts w:ascii="Cambria Math" w:hAnsi="Cambria Math"/>
          <w:i/>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ρ</m:t>
                  </m:r>
                </m:e>
                <m:sub>
                  <m:r>
                    <w:rPr>
                      <w:rFonts w:ascii="Cambria Math" w:hAnsi="Cambria Math"/>
                    </w:rPr>
                    <m:t>⋅,SPY</m:t>
                  </m:r>
                </m:sub>
              </m:sSub>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nary>
            <m:naryPr>
              <m:chr m:val="∑"/>
              <m:ctrlPr>
                <w:rPr>
                  <w:rFonts w:ascii="Cambria Math" w:hAnsi="Cambria Math"/>
                  <w:i/>
                </w:rPr>
              </m:ctrlPr>
            </m:naryPr>
            <m:sub>
              <m:eqArr>
                <m:eqArrPr>
                  <m:ctrlPr>
                    <w:rPr>
                      <w:rFonts w:ascii="Cambria Math" w:hAnsi="Cambria Math"/>
                      <w:i/>
                    </w:rPr>
                  </m:ctrlPr>
                </m:eqArrPr>
                <m:e>
                  <m:r>
                    <w:rPr>
                      <w:rFonts w:ascii="Cambria Math" w:hAnsi="Cambria Math"/>
                    </w:rPr>
                    <m:t>i=1</m:t>
                  </m:r>
                </m:e>
                <m:e>
                  <m:r>
                    <w:rPr>
                      <w:rFonts w:ascii="Cambria Math" w:hAnsi="Cambria Math"/>
                    </w:rPr>
                    <m:t>i≠SPY</m:t>
                  </m:r>
                </m:e>
              </m:eqArr>
            </m:sub>
            <m:sup>
              <m:r>
                <w:rPr>
                  <w:rFonts w:ascii="Cambria Math" w:hAnsi="Cambria Math"/>
                </w:rPr>
                <m:t>12</m:t>
              </m:r>
            </m:sup>
            <m:e>
              <m:sSub>
                <m:sSubPr>
                  <m:ctrlPr>
                    <w:rPr>
                      <w:rFonts w:ascii="Cambria Math" w:hAnsi="Cambria Math"/>
                      <w:i/>
                    </w:rPr>
                  </m:ctrlPr>
                </m:sSubPr>
                <m:e>
                  <m:r>
                    <w:rPr>
                      <w:rFonts w:ascii="Cambria Math" w:hAnsi="Cambria Math"/>
                    </w:rPr>
                    <m:t>ρ</m:t>
                  </m:r>
                </m:e>
                <m:sub>
                  <m:r>
                    <w:rPr>
                      <w:rFonts w:ascii="Cambria Math" w:hAnsi="Cambria Math"/>
                    </w:rPr>
                    <m:t>i,SPY</m:t>
                  </m:r>
                </m:sub>
              </m:sSub>
            </m:e>
          </m:nary>
          <m:r>
            <w:rPr>
              <w:rFonts w:ascii="Cambria Math" w:hAnsi="Cambria Math"/>
            </w:rPr>
            <m:t>.</m:t>
          </m:r>
        </m:oMath>
      </m:oMathPara>
    </w:p>
    <w:p w14:paraId="73D66CBD" w14:textId="43B3B9B3" w:rsidR="0007711B" w:rsidRDefault="00D448D1" w:rsidP="0007711B">
      <w:pPr>
        <w:spacing w:after="0" w:line="480" w:lineRule="auto"/>
        <w:ind w:firstLine="720"/>
        <w:jc w:val="both"/>
      </w:pPr>
      <w:r>
        <w:t>The h</w:t>
      </w:r>
      <w:r w:rsidR="00480AF1">
        <w:t xml:space="preserve">ighest </w:t>
      </w:r>
      <w:r>
        <w:t>c</w:t>
      </w:r>
      <w:r w:rsidR="00480AF1">
        <w:t xml:space="preserve">orrelation </w:t>
      </w:r>
      <w:r>
        <w:t>p</w:t>
      </w:r>
      <w:r w:rsidR="00480AF1">
        <w:t>air finds the largest correlation</w:t>
      </w:r>
      <w:r w:rsidR="001C2191">
        <w:t xml:space="preserve"> (excluding the </w:t>
      </w:r>
      <w:r w:rsidR="00F40D83">
        <w:t>diagonal)</w:t>
      </w:r>
      <w:r w:rsidR="00480AF1">
        <w:t xml:space="preserve"> in the correlation matrix:</w:t>
      </w:r>
    </w:p>
    <w:p w14:paraId="6267E3E1" w14:textId="77777777" w:rsidR="00337178" w:rsidRDefault="00435CE0" w:rsidP="00337178">
      <w:pPr>
        <w:spacing w:after="0" w:line="480" w:lineRule="auto"/>
        <w:ind w:firstLine="720"/>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max</m:t>
              </m:r>
            </m:sub>
          </m:sSub>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ctrlPr>
                    <w:rPr>
                      <w:rFonts w:ascii="Cambria Math" w:hAnsi="Cambria Math"/>
                    </w:rPr>
                  </m:ctrlPr>
                </m:lim>
              </m:limLow>
              <m:ctrlPr>
                <w:rPr>
                  <w:rFonts w:ascii="Cambria Math" w:hAnsi="Cambria Math"/>
                  <w:i/>
                </w:rPr>
              </m:ctrlPr>
            </m:fName>
            <m:e>
              <m:sSub>
                <m:sSubPr>
                  <m:ctrlPr>
                    <w:rPr>
                      <w:rFonts w:ascii="Cambria Math" w:hAnsi="Cambria Math"/>
                      <w:i/>
                    </w:rPr>
                  </m:ctrlPr>
                </m:sSubPr>
                <m:e>
                  <m:r>
                    <m:rPr>
                      <m:sty m:val="p"/>
                    </m:rPr>
                    <w:rPr>
                      <w:rFonts w:ascii="Cambria Math" w:hAnsi="Cambria Math"/>
                    </w:rPr>
                    <m:t>ρ</m:t>
                  </m:r>
                </m:e>
                <m:sub>
                  <m:r>
                    <w:rPr>
                      <w:rFonts w:ascii="Cambria Math" w:hAnsi="Cambria Math"/>
                    </w:rPr>
                    <m:t>ij</m:t>
                  </m:r>
                </m:sub>
              </m:sSub>
              <m:ctrlPr>
                <w:rPr>
                  <w:rFonts w:ascii="Cambria Math" w:hAnsi="Cambria Math"/>
                  <w:i/>
                </w:rPr>
              </m:ctrlPr>
            </m:e>
          </m:func>
          <m:r>
            <w:rPr>
              <w:rFonts w:ascii="Cambria Math" w:hAnsi="Cambria Math"/>
            </w:rPr>
            <m:t>.</m:t>
          </m:r>
        </m:oMath>
      </m:oMathPara>
    </w:p>
    <w:p w14:paraId="0F93BABD" w14:textId="770972E4" w:rsidR="005805F3" w:rsidRPr="005805F3" w:rsidRDefault="005376D9" w:rsidP="005805F3">
      <w:pPr>
        <w:spacing w:after="0" w:line="480" w:lineRule="auto"/>
        <w:ind w:firstLine="720"/>
        <w:jc w:val="both"/>
      </w:pPr>
      <w:r>
        <w:t>The</w:t>
      </w:r>
      <w:r w:rsidR="005805F3" w:rsidRPr="005805F3">
        <w:t xml:space="preserve"> correlation results suggest that my </w:t>
      </w:r>
      <w:r w:rsidR="00962306">
        <w:t xml:space="preserve">portfolio </w:t>
      </w:r>
      <w:r w:rsidR="005805F3" w:rsidRPr="005805F3">
        <w:t xml:space="preserve">still has a clear overlap risk inside the equity sleeve. The main red flag is the </w:t>
      </w:r>
      <w:r w:rsidR="005805F3" w:rsidRPr="00E93F7F">
        <w:rPr>
          <w:b/>
          <w:bCs/>
        </w:rPr>
        <w:t>QQQ–SPY</w:t>
      </w:r>
      <w:r w:rsidR="005805F3" w:rsidRPr="005805F3">
        <w:t xml:space="preserve"> </w:t>
      </w:r>
      <w:r w:rsidR="005805F3" w:rsidRPr="00E93F7F">
        <w:rPr>
          <w:b/>
          <w:bCs/>
        </w:rPr>
        <w:t>correlation</w:t>
      </w:r>
      <w:r w:rsidR="005805F3" w:rsidRPr="005805F3">
        <w:t xml:space="preserve"> of </w:t>
      </w:r>
      <m:oMath>
        <m:r>
          <m:rPr>
            <m:sty m:val="bi"/>
          </m:rPr>
          <w:rPr>
            <w:rFonts w:ascii="Cambria Math" w:hAnsi="Cambria Math"/>
          </w:rPr>
          <m:t>0.95</m:t>
        </m:r>
      </m:oMath>
      <w:r w:rsidR="005805F3" w:rsidRPr="005805F3">
        <w:t>. A correlation this close to 1 basically means these two positions behave almost like the same risk exposure on most days, so holding both does</w:t>
      </w:r>
      <w:r w:rsidR="00E93F7F">
        <w:t xml:space="preserve"> no</w:t>
      </w:r>
      <w:r w:rsidR="005805F3" w:rsidRPr="005805F3">
        <w:t>t add much independent diversification</w:t>
      </w:r>
      <w:r w:rsidR="00E93F7F">
        <w:t>. I</w:t>
      </w:r>
      <w:r w:rsidR="005805F3" w:rsidRPr="005805F3">
        <w:t>t mainly increases sensitivity to the same U.S. equity market factor. That</w:t>
      </w:r>
      <w:r w:rsidR="00E93F7F">
        <w:t xml:space="preserve"> </w:t>
      </w:r>
      <w:r w:rsidR="00C40FF6">
        <w:t>becomes more</w:t>
      </w:r>
      <w:r w:rsidR="00E93F7F">
        <w:t xml:space="preserve"> significant</w:t>
      </w:r>
      <w:r w:rsidR="005805F3" w:rsidRPr="005805F3">
        <w:t xml:space="preserve"> in stress periods </w:t>
      </w:r>
      <w:r w:rsidR="000C0A5E">
        <w:t xml:space="preserve">when </w:t>
      </w:r>
      <w:r w:rsidR="005805F3" w:rsidRPr="005805F3">
        <w:t xml:space="preserve">equity correlations often stay high or even rise, </w:t>
      </w:r>
      <w:r w:rsidR="000C0A5E">
        <w:t>making</w:t>
      </w:r>
      <w:r w:rsidR="005805F3" w:rsidRPr="005805F3">
        <w:t xml:space="preserve"> this kind of overlap </w:t>
      </w:r>
      <w:r w:rsidR="00D40040">
        <w:t>exacerbates the</w:t>
      </w:r>
      <w:r w:rsidR="005805F3" w:rsidRPr="005805F3">
        <w:t xml:space="preserve"> drawdown.</w:t>
      </w:r>
    </w:p>
    <w:p w14:paraId="71593299" w14:textId="1ADFFAF0" w:rsidR="0050712F" w:rsidRDefault="00917467" w:rsidP="0050712F">
      <w:pPr>
        <w:spacing w:after="0" w:line="480" w:lineRule="auto"/>
        <w:ind w:firstLine="720"/>
        <w:jc w:val="both"/>
      </w:pPr>
      <w:r>
        <w:t>On the other hand</w:t>
      </w:r>
      <w:r w:rsidR="005805F3" w:rsidRPr="005805F3">
        <w:t xml:space="preserve">, the portfolio-wide signal is more reassuring: my </w:t>
      </w:r>
      <w:r>
        <w:rPr>
          <w:b/>
          <w:bCs/>
        </w:rPr>
        <w:t>average correlation</w:t>
      </w:r>
      <w:r w:rsidR="005805F3" w:rsidRPr="005805F3">
        <w:rPr>
          <w:b/>
          <w:bCs/>
        </w:rPr>
        <w:t xml:space="preserve"> to SPY is 0.50</w:t>
      </w:r>
      <w:r w:rsidR="00BD354C">
        <w:t>. This means</w:t>
      </w:r>
      <w:r w:rsidR="005805F3" w:rsidRPr="005805F3">
        <w:t xml:space="preserve"> while one equity pair is extremely redundant, the average relationship to SPY across the </w:t>
      </w:r>
      <w:r w:rsidR="00BD354C">
        <w:t>portfolio</w:t>
      </w:r>
      <w:r w:rsidR="005805F3" w:rsidRPr="005805F3">
        <w:t xml:space="preserve"> is moderate</w:t>
      </w:r>
      <w:r w:rsidR="00703814">
        <w:t>.</w:t>
      </w:r>
      <w:r w:rsidR="005805F3" w:rsidRPr="005805F3">
        <w:t xml:space="preserve"> </w:t>
      </w:r>
      <w:r w:rsidR="00231ED9">
        <w:t>Yet, the</w:t>
      </w:r>
      <w:r w:rsidR="00231ED9" w:rsidRPr="00231ED9">
        <w:rPr>
          <w:bCs/>
        </w:rPr>
        <w:t xml:space="preserve"> average correlation by itself can hide what happens during market stress. A fuller risk analysis would also examine rolling or crisis-period correlations, because diversification often weakens when it is needed most. </w:t>
      </w:r>
      <w:r w:rsidR="00231ED9">
        <w:rPr>
          <w:bCs/>
        </w:rPr>
        <w:t>Therefore,</w:t>
      </w:r>
      <w:r w:rsidR="00231ED9" w:rsidRPr="00231ED9">
        <w:rPr>
          <w:bCs/>
        </w:rPr>
        <w:t xml:space="preserve"> the correct takeaway is that the portfolio has some diversification benefit, but that benefit may shrink in stressed regimes</w:t>
      </w:r>
      <w:r w:rsidR="00231ED9">
        <w:t>.</w:t>
      </w:r>
    </w:p>
    <w:p w14:paraId="010B8786" w14:textId="2B4BA4B2" w:rsidR="0050712F" w:rsidRPr="0050712F" w:rsidRDefault="00480AF1" w:rsidP="0050712F">
      <w:pPr>
        <w:pStyle w:val="ListParagraph"/>
        <w:numPr>
          <w:ilvl w:val="0"/>
          <w:numId w:val="12"/>
        </w:numPr>
        <w:spacing w:after="0" w:line="480" w:lineRule="auto"/>
        <w:jc w:val="both"/>
        <w:rPr>
          <w:b/>
          <w:bCs/>
        </w:rPr>
      </w:pPr>
      <w:r w:rsidRPr="0050712F">
        <w:rPr>
          <w:b/>
          <w:bCs/>
        </w:rPr>
        <w:t>1-day VaR95 and 1-day CVaR95</w:t>
      </w:r>
    </w:p>
    <w:p w14:paraId="25CA5B10" w14:textId="68A1F358" w:rsidR="00B2105A" w:rsidRDefault="00231ED9" w:rsidP="00231ED9">
      <w:pPr>
        <w:spacing w:after="0" w:line="480" w:lineRule="auto"/>
        <w:ind w:firstLine="720"/>
        <w:jc w:val="both"/>
      </w:pPr>
      <w:r w:rsidRPr="00231ED9">
        <w:t>VaR95 (Value at Risk at the 95% confidence level) and CVaR95 (Conditional Value at Risk at the 95% confidence level, also called Expected Shortfall) focus on the tail risk of the return distribution. The 95% level means these measures are looking at the worst 5% of trading days in the historical sample</w:t>
      </w:r>
      <w:r w:rsidR="005C20E0">
        <w:t>.</w:t>
      </w:r>
    </w:p>
    <w:p w14:paraId="59257F6F" w14:textId="76D3C44F" w:rsidR="00231ED9" w:rsidRDefault="00231ED9" w:rsidP="00231ED9">
      <w:pPr>
        <w:spacing w:after="0" w:line="480" w:lineRule="auto"/>
        <w:ind w:firstLine="720"/>
        <w:jc w:val="both"/>
      </w:pPr>
      <w:r w:rsidRPr="00231ED9">
        <w:t>VaR95 is a loss threshold. In other words, based on the historical sample, about 5% of trading days were worse than this cutoff. To calculate VaR95, I collect all daily portfolio returns, sort them from smallest to largest, and identify the 5th percentile return</w:t>
      </w:r>
      <w:r w:rsidR="00480AF1">
        <w:t>:</w:t>
      </w:r>
    </w:p>
    <w:p w14:paraId="263D2F52" w14:textId="326EA10F" w:rsidR="00B2105A" w:rsidRPr="00A86A10" w:rsidRDefault="00435CE0" w:rsidP="00231ED9">
      <w:pPr>
        <w:spacing w:after="0" w:line="480" w:lineRule="auto"/>
        <w:ind w:firstLine="720"/>
        <w:jc w:val="both"/>
      </w:pPr>
      <m:oMathPara>
        <m:oMath>
          <m:sSub>
            <m:sSubPr>
              <m:ctrlPr>
                <w:rPr>
                  <w:rFonts w:ascii="Cambria Math" w:hAnsi="Cambria Math"/>
                </w:rPr>
              </m:ctrlPr>
            </m:sSubPr>
            <m:e>
              <m:r>
                <w:rPr>
                  <w:rFonts w:ascii="Cambria Math" w:hAnsi="Cambria Math"/>
                </w:rPr>
                <m:t>q</m:t>
              </m:r>
            </m:e>
            <m:sub>
              <m:r>
                <m:rPr>
                  <m:nor/>
                </m:rPr>
                <w:rPr>
                  <w:rFonts w:ascii="Cambria Math" w:hAnsi="Cambria Math"/>
                </w:rPr>
                <m:t>0.05</m:t>
              </m:r>
            </m:sub>
          </m:sSub>
          <m:r>
            <w:rPr>
              <w:rFonts w:ascii="Cambria Math" w:hAnsi="Cambria Math"/>
            </w:rPr>
            <m:t>=</m:t>
          </m:r>
          <m:r>
            <m:rPr>
              <m:nor/>
            </m:rPr>
            <w:rPr>
              <w:rFonts w:ascii="Cambria Math" w:hAnsi="Cambria Math"/>
            </w:rPr>
            <m:t>Quantil</m:t>
          </m:r>
          <m:sSub>
            <m:sSubPr>
              <m:ctrlPr>
                <w:rPr>
                  <w:rFonts w:ascii="Cambria Math" w:hAnsi="Cambria Math"/>
                  <w:i/>
                </w:rPr>
              </m:ctrlPr>
            </m:sSubPr>
            <m:e>
              <m:r>
                <m:rPr>
                  <m:nor/>
                </m:rPr>
                <w:rPr>
                  <w:rFonts w:ascii="Cambria Math" w:hAnsi="Cambria Math"/>
                </w:rPr>
                <m:t>e</m:t>
              </m:r>
            </m:e>
            <m:sub>
              <m:r>
                <m:rPr>
                  <m:nor/>
                </m:rPr>
                <w:rPr>
                  <w:rFonts w:ascii="Cambria Math" w:hAnsi="Cambria Math"/>
                </w:rPr>
                <m:t>0.05</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p</m:t>
                  </m:r>
                </m:sub>
              </m:sSub>
            </m:e>
          </m:d>
          <m:r>
            <w:rPr>
              <w:rFonts w:ascii="Cambria Math" w:hAnsi="Cambria Math"/>
            </w:rPr>
            <m:t>.</m:t>
          </m:r>
        </m:oMath>
      </m:oMathPara>
    </w:p>
    <w:p w14:paraId="2DEE4AF8" w14:textId="15BF4D72" w:rsidR="00A86A10" w:rsidRDefault="00A86A10" w:rsidP="0007711B">
      <w:pPr>
        <w:spacing w:after="0" w:line="480" w:lineRule="auto"/>
        <w:ind w:firstLine="720"/>
      </w:pPr>
      <w:r>
        <w:t xml:space="preserve">VaR95 is the cutoff that reports the </w:t>
      </w:r>
      <w:r w:rsidR="005C2E67">
        <w:t>l</w:t>
      </w:r>
      <w:r>
        <w:t>os</w:t>
      </w:r>
      <w:r w:rsidR="005C2E67">
        <w:t>ses of the returns</w:t>
      </w:r>
      <w:r w:rsidR="00CA338B">
        <w:t xml:space="preserve">. The negative </w:t>
      </w:r>
      <w:r w:rsidR="004F5770">
        <w:t>sign is introduced to make VaR95 a positive loss magnitude</w:t>
      </w:r>
      <w:r w:rsidR="005C2E67">
        <w:t>:</w:t>
      </w:r>
    </w:p>
    <w:p w14:paraId="05CCD02B" w14:textId="6C2B9119" w:rsidR="005C2E67" w:rsidRPr="00A86A10" w:rsidRDefault="00130DFD" w:rsidP="0007711B">
      <w:pPr>
        <w:spacing w:after="0" w:line="480" w:lineRule="auto"/>
        <w:ind w:firstLine="720"/>
      </w:pPr>
      <m:oMathPara>
        <m:oMath>
          <m:r>
            <m:rPr>
              <m:nor/>
            </m:rPr>
            <w:rPr>
              <w:rFonts w:ascii="Cambria Math" w:hAnsi="Cambria Math"/>
            </w:rPr>
            <m:t>Va</m:t>
          </m:r>
          <m:sSub>
            <m:sSubPr>
              <m:ctrlPr>
                <w:rPr>
                  <w:rFonts w:ascii="Cambria Math" w:hAnsi="Cambria Math"/>
                  <w:i/>
                </w:rPr>
              </m:ctrlPr>
            </m:sSubPr>
            <m:e>
              <m:r>
                <m:rPr>
                  <m:nor/>
                </m:rPr>
                <w:rPr>
                  <w:rFonts w:ascii="Cambria Math" w:hAnsi="Cambria Math"/>
                </w:rPr>
                <m:t>r</m:t>
              </m:r>
            </m:e>
            <m:sub>
              <m:r>
                <m:rPr>
                  <m:nor/>
                </m:rPr>
                <w:rPr>
                  <w:rFonts w:ascii="Cambria Math" w:hAnsi="Cambria Math"/>
                </w:rPr>
                <m:t>95</m:t>
              </m:r>
            </m:sub>
          </m:sSub>
          <m:r>
            <w:rPr>
              <w:rFonts w:ascii="Cambria Math" w:hAnsi="Cambria Math"/>
            </w:rPr>
            <m:t>=</m:t>
          </m:r>
          <m:sSub>
            <m:sSubPr>
              <m:ctrlPr>
                <w:rPr>
                  <w:rFonts w:ascii="Cambria Math" w:hAnsi="Cambria Math"/>
                </w:rPr>
              </m:ctrlPr>
            </m:sSubPr>
            <m:e>
              <m:r>
                <w:rPr>
                  <w:rFonts w:ascii="Cambria Math" w:hAnsi="Cambria Math"/>
                </w:rPr>
                <m:t>-q</m:t>
              </m:r>
            </m:e>
            <m:sub>
              <m:r>
                <m:rPr>
                  <m:nor/>
                </m:rPr>
                <w:rPr>
                  <w:rFonts w:ascii="Cambria Math" w:hAnsi="Cambria Math"/>
                </w:rPr>
                <m:t>0.05</m:t>
              </m:r>
            </m:sub>
          </m:sSub>
          <m:r>
            <w:rPr>
              <w:rFonts w:ascii="Cambria Math" w:hAnsi="Cambria Math"/>
            </w:rPr>
            <m:t>.</m:t>
          </m:r>
        </m:oMath>
      </m:oMathPara>
    </w:p>
    <w:p w14:paraId="4899F821" w14:textId="1CE84760" w:rsidR="00A60393" w:rsidRDefault="00480AF1" w:rsidP="00A60393">
      <w:pPr>
        <w:spacing w:after="0" w:line="480" w:lineRule="auto"/>
        <w:ind w:firstLine="720"/>
        <w:jc w:val="both"/>
      </w:pPr>
      <w:r>
        <w:t xml:space="preserve">CVaR95 is the average loss </w:t>
      </w:r>
      <w:r w:rsidR="00A65A91">
        <w:t>of th</w:t>
      </w:r>
      <w:r w:rsidR="00C01F35">
        <w:t>ose 5% worst days</w:t>
      </w:r>
      <w:r w:rsidR="00982BFA">
        <w:t xml:space="preserve">. Therefore, </w:t>
      </w:r>
      <w:r w:rsidR="00994A50">
        <w:t>C</w:t>
      </w:r>
      <w:r w:rsidR="00C25489">
        <w:t>V</w:t>
      </w:r>
      <w:r w:rsidR="00994A50">
        <w:t xml:space="preserve">aR95 can be calculated by taking the average of </w:t>
      </w:r>
      <w:r w:rsidR="00C25489">
        <w:t>the returns inside the tail</w:t>
      </w:r>
      <w:r w:rsidR="0068533A">
        <w:t>:</w:t>
      </w:r>
    </w:p>
    <w:p w14:paraId="69F21B8F" w14:textId="04B3E8FA" w:rsidR="009B508E" w:rsidRPr="00723EA0" w:rsidRDefault="00985297" w:rsidP="00A60393">
      <w:pPr>
        <w:spacing w:after="0" w:line="480" w:lineRule="auto"/>
        <w:ind w:firstLine="720"/>
        <w:jc w:val="both"/>
      </w:pPr>
      <m:oMathPara>
        <m:oMath>
          <m:r>
            <m:rPr>
              <m:nor/>
            </m:rPr>
            <w:rPr>
              <w:rFonts w:ascii="Cambria Math" w:hAnsi="Cambria Math"/>
            </w:rPr>
            <m:t>Tail Mean</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p,t</m:t>
                      </m:r>
                    </m:e>
                  </m:d>
                </m:sub>
              </m:sSub>
              <m:r>
                <w:rPr>
                  <w:rFonts w:ascii="Cambria Math" w:hAnsi="Cambria Math"/>
                </w:rPr>
                <m:t>≤</m:t>
              </m:r>
              <m:sSub>
                <m:sSubPr>
                  <m:ctrlPr>
                    <w:rPr>
                      <w:rFonts w:ascii="Cambria Math" w:hAnsi="Cambria Math"/>
                      <w:i/>
                    </w:rPr>
                  </m:ctrlPr>
                </m:sSubPr>
                <m:e>
                  <m:r>
                    <w:rPr>
                      <w:rFonts w:ascii="Cambria Math" w:hAnsi="Cambria Math"/>
                    </w:rPr>
                    <m:t>q</m:t>
                  </m:r>
                </m:e>
                <m:sub>
                  <m:d>
                    <m:dPr>
                      <m:ctrlPr>
                        <w:rPr>
                          <w:rFonts w:ascii="Cambria Math" w:hAnsi="Cambria Math"/>
                          <w:i/>
                        </w:rPr>
                      </m:ctrlPr>
                    </m:dPr>
                    <m:e>
                      <m:r>
                        <w:rPr>
                          <w:rFonts w:ascii="Cambria Math" w:hAnsi="Cambria Math"/>
                        </w:rPr>
                        <m:t>0.05</m:t>
                      </m:r>
                    </m:e>
                  </m:d>
                </m:sub>
              </m:sSub>
            </m:sub>
            <m:sup/>
            <m:e>
              <m:sSub>
                <m:sSubPr>
                  <m:ctrlPr>
                    <w:rPr>
                      <w:rFonts w:ascii="Cambria Math" w:hAnsi="Cambria Math"/>
                      <w:i/>
                    </w:rPr>
                  </m:ctrlPr>
                </m:sSubPr>
                <m:e>
                  <m:r>
                    <w:rPr>
                      <w:rFonts w:ascii="Cambria Math" w:hAnsi="Cambria Math"/>
                    </w:rPr>
                    <m:t>r</m:t>
                  </m:r>
                </m:e>
                <m:sub>
                  <m:d>
                    <m:dPr>
                      <m:ctrlPr>
                        <w:rPr>
                          <w:rFonts w:ascii="Cambria Math" w:hAnsi="Cambria Math"/>
                          <w:i/>
                        </w:rPr>
                      </m:ctrlPr>
                    </m:dPr>
                    <m:e>
                      <m:r>
                        <w:rPr>
                          <w:rFonts w:ascii="Cambria Math" w:hAnsi="Cambria Math"/>
                        </w:rPr>
                        <m:t>p,t</m:t>
                      </m:r>
                    </m:e>
                  </m:d>
                </m:sub>
              </m:sSub>
              <m:r>
                <w:rPr>
                  <w:rFonts w:ascii="Cambria Math" w:hAnsi="Cambria Math"/>
                </w:rPr>
                <m:t>.</m:t>
              </m:r>
            </m:e>
          </m:nary>
        </m:oMath>
      </m:oMathPara>
    </w:p>
    <w:p w14:paraId="326752F2" w14:textId="09353987" w:rsidR="00723EA0" w:rsidRPr="009B508E" w:rsidRDefault="00723EA0" w:rsidP="00A60393">
      <w:pPr>
        <w:spacing w:after="0" w:line="480" w:lineRule="auto"/>
        <w:ind w:firstLine="720"/>
        <w:jc w:val="both"/>
      </w:pPr>
      <w:r>
        <w:t xml:space="preserve">Then, </w:t>
      </w:r>
      <w:r w:rsidR="00DD6228">
        <w:t>just like VaR95, a negative sign is introduced to make CVaR95 a positive loss magnitude:</w:t>
      </w:r>
    </w:p>
    <w:p w14:paraId="5E03544A" w14:textId="598AB199" w:rsidR="00FD774D" w:rsidRPr="00FD774D" w:rsidRDefault="00B66323" w:rsidP="00A60393">
      <w:pPr>
        <w:spacing w:after="0" w:line="480" w:lineRule="auto"/>
        <w:ind w:firstLine="720"/>
        <w:jc w:val="both"/>
      </w:pPr>
      <m:oMathPara>
        <m:oMath>
          <m:r>
            <m:rPr>
              <m:sty m:val="p"/>
            </m:rPr>
            <w:rPr>
              <w:rFonts w:ascii="Cambria Math" w:hAnsi="Cambria Math"/>
            </w:rPr>
            <m:t>CVa</m:t>
          </m:r>
          <m:sSub>
            <m:sSubPr>
              <m:ctrlPr>
                <w:rPr>
                  <w:rFonts w:ascii="Cambria Math" w:hAnsi="Cambria Math"/>
                </w:rPr>
              </m:ctrlPr>
            </m:sSubPr>
            <m:e>
              <m:r>
                <m:rPr>
                  <m:sty m:val="p"/>
                </m:rPr>
                <w:rPr>
                  <w:rFonts w:ascii="Cambria Math" w:hAnsi="Cambria Math"/>
                </w:rPr>
                <m:t>R</m:t>
              </m:r>
            </m:e>
            <m:sub>
              <m:r>
                <w:rPr>
                  <w:rFonts w:ascii="Cambria Math" w:hAnsi="Cambria Math"/>
                </w:rPr>
                <m:t>0.95</m:t>
              </m:r>
            </m:sub>
          </m:sSub>
          <m:r>
            <m:rPr>
              <m:sty m:val="p"/>
            </m:rPr>
            <w:rPr>
              <w:rFonts w:ascii="Cambria Math" w:hAnsi="Cambria Math"/>
            </w:rPr>
            <m:t>=-Tail Mean</m:t>
          </m:r>
          <m:r>
            <w:rPr>
              <w:rFonts w:ascii="Cambria Math" w:hAnsi="Cambria Math"/>
            </w:rPr>
            <m:t>.</m:t>
          </m:r>
        </m:oMath>
      </m:oMathPara>
    </w:p>
    <w:p w14:paraId="0B90C479" w14:textId="51D0BB9B" w:rsidR="00B2105A" w:rsidRPr="00FD774D" w:rsidRDefault="00231ED9" w:rsidP="00A60393">
      <w:pPr>
        <w:spacing w:after="0" w:line="480" w:lineRule="auto"/>
        <w:ind w:firstLine="720"/>
        <w:jc w:val="both"/>
      </w:pPr>
      <w:r w:rsidRPr="00231ED9">
        <w:t xml:space="preserve">For this portfolio, the two tail-risk KPIs are </w:t>
      </w:r>
      <w:r w:rsidRPr="00231ED9">
        <w:rPr>
          <w:b/>
          <w:bCs/>
        </w:rPr>
        <w:t>1-day VaR95 = 1%</w:t>
      </w:r>
      <w:r w:rsidRPr="00231ED9">
        <w:t xml:space="preserve"> and </w:t>
      </w:r>
      <w:r w:rsidRPr="00231ED9">
        <w:rPr>
          <w:b/>
          <w:bCs/>
        </w:rPr>
        <w:t>1-day CVaR95 = 2%</w:t>
      </w:r>
      <w:r w:rsidRPr="00231ED9">
        <w:t>. Interpreted carefully, this means that in the historical sample</w:t>
      </w:r>
      <w:r>
        <w:t>,</w:t>
      </w:r>
      <w:r w:rsidRPr="00231ED9">
        <w:t xml:space="preserve"> about 95% of trading days were not worse than a 1% loss, while the average loss on the worst 5% of days was about 2%. CVaR being larger than VaR is normal because once the portfolio enters the bad tail, losses often become more severe than the threshold day alone would suggest. These measures are useful for monitoring downside risk, but they are backward-looking and should not be treated as guarantees about future stress events</w:t>
      </w:r>
      <w:r w:rsidR="00E725DC" w:rsidRPr="00E725DC">
        <w:t xml:space="preserve">. </w:t>
      </w:r>
    </w:p>
    <w:p w14:paraId="6FCDA23C" w14:textId="211CEFCB" w:rsidR="00012B44" w:rsidRPr="00012B44" w:rsidRDefault="00012B44" w:rsidP="00012B44">
      <w:pPr>
        <w:pStyle w:val="ListParagraph"/>
        <w:numPr>
          <w:ilvl w:val="0"/>
          <w:numId w:val="12"/>
        </w:numPr>
        <w:spacing w:after="0" w:line="480" w:lineRule="auto"/>
        <w:jc w:val="both"/>
        <w:rPr>
          <w:rFonts w:cstheme="majorBidi"/>
          <w:b/>
          <w:bCs/>
          <w:szCs w:val="28"/>
        </w:rPr>
      </w:pPr>
      <w:r w:rsidRPr="00012B44">
        <w:rPr>
          <w:rFonts w:cstheme="majorBidi"/>
          <w:b/>
          <w:bCs/>
          <w:szCs w:val="28"/>
        </w:rPr>
        <w:t>Macroeconomic and Political Context of the Maximum Drawdown and Recovery</w:t>
      </w:r>
    </w:p>
    <w:p w14:paraId="68AE8766" w14:textId="257A7246" w:rsidR="00D63806" w:rsidRDefault="00231ED9" w:rsidP="00D63806">
      <w:pPr>
        <w:spacing w:after="0" w:line="480" w:lineRule="auto"/>
        <w:ind w:firstLine="420"/>
        <w:jc w:val="both"/>
      </w:pPr>
      <w:r w:rsidRPr="00231ED9">
        <w:t xml:space="preserve">The portfolio’s worst drawdown episode began after its prior peak on November 9, 2021, reached its trough on October 14, 2022, and did not fully recover until May 20, 2024. This was not just a random fluctuation. It likely reflected a major change in the global </w:t>
      </w:r>
      <w:r w:rsidRPr="00231ED9">
        <w:lastRenderedPageBreak/>
        <w:t>market environment, as the portfolio moved from a period of post-pandemic optimism and strong risk appetite into one shaped by high inflation, aggressive monetary tightening, geopolitical stress, and unusually weak diversification across asset classes. The result was a maximum drawdown of −21.52%, a decline that took 234 trading days from peak to trough and 634 trading days to fully recover. That timeline matters because it shows that the portfolio’s worst risk episode was both deep and prolonged</w:t>
      </w:r>
      <w:r w:rsidR="008D65F2">
        <w:t>.</w:t>
      </w:r>
    </w:p>
    <w:p w14:paraId="33401BF3" w14:textId="77777777" w:rsidR="00D63806" w:rsidRDefault="008D65F2" w:rsidP="00D63806">
      <w:pPr>
        <w:spacing w:after="0" w:line="480" w:lineRule="auto"/>
        <w:ind w:firstLine="420"/>
        <w:jc w:val="both"/>
      </w:pPr>
      <w:r>
        <w:t>The portfolio peaked in late 2021 during the final stage of the post-pandemic recovery rally. At that time, financial conditions were still relatively supportive. Interest rates were low, liquidity was still favorable by historical standards, and investors were willing to pay high valuations for future growth. That environment was especially supportive for major U.S. equity exposures such as QQQ and SPY, which likely played an important role in pushing the portfolio to its peak. Other equity holdings such as IWM, EFA, and EEM also benefited from the broader recovery narrative, even if they were more sensitive to global growth and reopening uncertainty. At the same time, lower-rate conditions were generally favorable for VNQ and credit-sensitive ETFs such as LQD and HYG, since easier financing conditions tend to support both real estate valuations and corporate credit.</w:t>
      </w:r>
    </w:p>
    <w:p w14:paraId="33737E64" w14:textId="70C49126" w:rsidR="00133D5B" w:rsidRDefault="008D65F2" w:rsidP="00133D5B">
      <w:pPr>
        <w:spacing w:after="0" w:line="480" w:lineRule="auto"/>
        <w:ind w:firstLine="420"/>
        <w:jc w:val="both"/>
      </w:pPr>
      <w:r>
        <w:t xml:space="preserve">That market regime changed sharply in 2022. Inflation remained much more persistent than policymakers and investors had expected, and the Federal Reserve responded with an aggressive rate-hike cycle. This was the central macroeconomic shift behind the portfolio’s drawdown. Higher interest rates affect markets in several ways at once: they reduce the value investors place on future cash flows, they tighten financing conditions, and they increase recession concerns. This combination was particularly damaging for a portfolio like yours because it held multiple ETFs that were exposed to different parts of the same </w:t>
      </w:r>
      <w:r>
        <w:lastRenderedPageBreak/>
        <w:t xml:space="preserve">tightening shock. QQQ and SPY were pressured by higher discount rates and weaker sentiment toward growth and broad equities. IWM was vulnerable because smaller companies tend to be more sensitive to financing stress and slowing domestic growth. International equity exposures such as EFA and EEM also faced </w:t>
      </w:r>
      <w:r w:rsidR="00133D5B">
        <w:t xml:space="preserve">a </w:t>
      </w:r>
      <w:r>
        <w:t>weaker global risk appetite and a stronger U.S. dollar environment for part of the period.</w:t>
      </w:r>
    </w:p>
    <w:p w14:paraId="71593A49" w14:textId="77777777" w:rsidR="00F056F8" w:rsidRDefault="008D65F2" w:rsidP="00F056F8">
      <w:pPr>
        <w:spacing w:after="0" w:line="480" w:lineRule="auto"/>
        <w:ind w:firstLine="420"/>
        <w:jc w:val="both"/>
      </w:pPr>
      <w:r>
        <w:t>What made 2022 especially difficult was that the damage was not limited to equities. Bonds also sold off sharply. This is important because a diversified ETF portfolio often depends on bonds to cushion equity weakness, but that protection was much weaker in 2022. As interest rates rose rapidly, bond prices fell, which directly hurt IEF and TLT. Corporate bond ETFs such as LQD and HYG also came under pressure because tighter monetary policy made credit conditions less attractive and increased concerns about economic slowdown. VNQ was also affected because real estate is very sensitive to financing costs and higher yields. In other words, the portfolio was being hit across several fronts at the same time: equities were repricing, rates were rising, credit was weakening, and rate-sensitive real assets were under pressure.</w:t>
      </w:r>
    </w:p>
    <w:p w14:paraId="2A8231DB" w14:textId="77777777" w:rsidR="00F056F8" w:rsidRDefault="008D65F2" w:rsidP="00F056F8">
      <w:pPr>
        <w:spacing w:after="0" w:line="480" w:lineRule="auto"/>
        <w:ind w:firstLine="420"/>
        <w:jc w:val="both"/>
      </w:pPr>
      <w:r>
        <w:t xml:space="preserve">The geopolitical environment made this even worse. Russia’s invasion of Ukraine in February 2022 intensified global uncertainty and contributed to the energy and commodity shock, especially in Europe. This added another layer of stress to financial markets. For the portfolio, that likely created mixed effects across ETFs. DBC, which represents commodities, may have received some support from higher commodity prices. GLD may also have had some safe-haven appeal. However, those benefits were not large enough to offset the broader decline across equities, bonds, and credit. At the same time, EFA was exposed to developed international markets, including Europe, where the economic effects </w:t>
      </w:r>
      <w:r>
        <w:lastRenderedPageBreak/>
        <w:t>of the energy shock were more direct. EEM also faced headwinds from slower global growth, uneven emerging-market conditions, and uncertainty around China’s recovery path.</w:t>
      </w:r>
    </w:p>
    <w:p w14:paraId="49719AB7" w14:textId="77777777" w:rsidR="00231ED9" w:rsidRDefault="00231ED9" w:rsidP="00231ED9">
      <w:pPr>
        <w:spacing w:after="0" w:line="480" w:lineRule="auto"/>
        <w:ind w:firstLine="420"/>
        <w:jc w:val="both"/>
      </w:pPr>
      <w:r>
        <w:t>My correlation metrics help explain part of why the drawdown became so large. Since the portfolio’s average correlation to SPY is 0.50, it remained meaningfully linked to broad U.S. equity market behavior even though it held 12 ETFs. More importantly, the highest correlation pair was QQQ–SPY at 0.95, which indicates very strong co-movement between two major U.S. equity exposures. This is consistent with diversification being weaker than the ETF count alone might suggest, especially during periods of market stress when assets that usually look different can begin moving together.</w:t>
      </w:r>
    </w:p>
    <w:p w14:paraId="26494BCE" w14:textId="77777777" w:rsidR="00231ED9" w:rsidRDefault="00231ED9" w:rsidP="00231ED9">
      <w:pPr>
        <w:spacing w:after="0" w:line="480" w:lineRule="auto"/>
        <w:ind w:firstLine="420"/>
        <w:jc w:val="both"/>
      </w:pPr>
      <w:r>
        <w:t>After the trough on October 14, 2022, the portfolio entered a long recovery phase. This phase should not be understood as a quick rebound, but rather as a gradual market adjustment to a new macro regime. By late 2022 and into 2023, markets began moving away from shock repricing and toward adaptation. Inflation started to show signs of easing, which reduced the intensity of the earlier policy shock, and investors became less surprised by the idea of higher rates. Recovery was uneven across asset classes, and a plausible explanation is that large-cap U.S. equities, especially QQQ and SPY, provided some of the strongest support during the rebound.</w:t>
      </w:r>
    </w:p>
    <w:p w14:paraId="64EDD1D6" w14:textId="77777777" w:rsidR="00231ED9" w:rsidRDefault="00231ED9" w:rsidP="00231ED9">
      <w:pPr>
        <w:spacing w:after="0" w:line="480" w:lineRule="auto"/>
        <w:ind w:firstLine="420"/>
        <w:jc w:val="both"/>
      </w:pPr>
      <w:r>
        <w:t xml:space="preserve">Other parts of the portfolio likely recovered more slowly. IEF and TLT remained tied to the uncertain path of rates and inflation expectations. LQD and HYG likely improved as credit fears eased, but they still operated in a tighter financial environment than before. VNQ remained constrained by elevated financing costs. EFA and EEM were influenced by a more uneven global recovery, including different growth conditions across Europe, </w:t>
      </w:r>
      <w:r>
        <w:lastRenderedPageBreak/>
        <w:t>emerging markets, and China. This unevenness is consistent with why the portfolio needed such a long time to fully recover.</w:t>
      </w:r>
    </w:p>
    <w:p w14:paraId="26F59D62" w14:textId="66B2D9EB" w:rsidR="00F056F8" w:rsidRDefault="00231ED9" w:rsidP="00231ED9">
      <w:pPr>
        <w:spacing w:after="0" w:line="480" w:lineRule="auto"/>
        <w:ind w:firstLine="420"/>
        <w:jc w:val="both"/>
      </w:pPr>
      <w:r>
        <w:t>The recovery completed on May 20, 2024, meaning the full drawdown episode lasted 634 trading days. This long recovery period is an important part of the portfolio’s risk story. It shows that even when a drawdown is eventually reversible, it can still leave the investor underwater for a long time. That matters not only financially, but behaviorally: a portfolio that takes nearly two and a half years in calendar time to recover can test patience, liquidity needs, and commitment to the strategy even if the long-run outcome is ultimately positive</w:t>
      </w:r>
      <w:r w:rsidR="008D65F2">
        <w:t>.</w:t>
      </w:r>
    </w:p>
    <w:p w14:paraId="54353F37" w14:textId="77777777" w:rsidR="00CB5CBB" w:rsidRDefault="00CB5CBB" w:rsidP="00CB5CBB">
      <w:pPr>
        <w:pStyle w:val="ListBullet"/>
        <w:numPr>
          <w:ilvl w:val="0"/>
          <w:numId w:val="0"/>
        </w:numPr>
        <w:spacing w:after="0" w:line="480" w:lineRule="auto"/>
      </w:pPr>
    </w:p>
    <w:sectPr w:rsidR="00CB5CBB" w:rsidSect="00034616">
      <w:head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D294" w14:textId="77777777" w:rsidR="00007959" w:rsidRDefault="00007959" w:rsidP="004D57B7">
      <w:pPr>
        <w:spacing w:after="0" w:line="240" w:lineRule="auto"/>
      </w:pPr>
      <w:r>
        <w:separator/>
      </w:r>
    </w:p>
  </w:endnote>
  <w:endnote w:type="continuationSeparator" w:id="0">
    <w:p w14:paraId="2FA84A80" w14:textId="77777777" w:rsidR="00007959" w:rsidRDefault="00007959" w:rsidP="004D5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576FE" w14:textId="77777777" w:rsidR="00007959" w:rsidRDefault="00007959" w:rsidP="004D57B7">
      <w:pPr>
        <w:spacing w:after="0" w:line="240" w:lineRule="auto"/>
      </w:pPr>
      <w:r>
        <w:separator/>
      </w:r>
    </w:p>
  </w:footnote>
  <w:footnote w:type="continuationSeparator" w:id="0">
    <w:p w14:paraId="401376F0" w14:textId="77777777" w:rsidR="00007959" w:rsidRDefault="00007959" w:rsidP="004D5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620"/>
      <w:docPartObj>
        <w:docPartGallery w:val="Page Numbers (Top of Page)"/>
        <w:docPartUnique/>
      </w:docPartObj>
    </w:sdtPr>
    <w:sdtEndPr>
      <w:rPr>
        <w:noProof/>
      </w:rPr>
    </w:sdtEndPr>
    <w:sdtContent>
      <w:p w14:paraId="28C2E829" w14:textId="327F2C6C" w:rsidR="001C30FA" w:rsidRDefault="001C30F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A21BFD8" w14:textId="77777777" w:rsidR="001C30FA" w:rsidRDefault="001C3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A06387"/>
    <w:multiLevelType w:val="hybridMultilevel"/>
    <w:tmpl w:val="FA7AD616"/>
    <w:lvl w:ilvl="0" w:tplc="8D86DF3A">
      <w:start w:val="1"/>
      <w:numFmt w:val="decimal"/>
      <w:lvlText w:val="%1."/>
      <w:lvlJc w:val="left"/>
      <w:pPr>
        <w:ind w:left="780" w:hanging="360"/>
      </w:pPr>
      <w:rPr>
        <w:rFonts w:ascii="Times New Roman" w:hAnsi="Times New Roman" w:cs="Times New Roman" w:hint="default"/>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5FDE1BFC"/>
    <w:multiLevelType w:val="hybridMultilevel"/>
    <w:tmpl w:val="875A02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12008E"/>
    <w:multiLevelType w:val="hybridMultilevel"/>
    <w:tmpl w:val="FC3C2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704829">
    <w:abstractNumId w:val="8"/>
  </w:num>
  <w:num w:numId="2" w16cid:durableId="1039666152">
    <w:abstractNumId w:val="6"/>
  </w:num>
  <w:num w:numId="3" w16cid:durableId="245962263">
    <w:abstractNumId w:val="5"/>
  </w:num>
  <w:num w:numId="4" w16cid:durableId="210921428">
    <w:abstractNumId w:val="4"/>
  </w:num>
  <w:num w:numId="5" w16cid:durableId="663975499">
    <w:abstractNumId w:val="7"/>
  </w:num>
  <w:num w:numId="6" w16cid:durableId="842164729">
    <w:abstractNumId w:val="3"/>
  </w:num>
  <w:num w:numId="7" w16cid:durableId="308438692">
    <w:abstractNumId w:val="2"/>
  </w:num>
  <w:num w:numId="8" w16cid:durableId="1766686225">
    <w:abstractNumId w:val="1"/>
  </w:num>
  <w:num w:numId="9" w16cid:durableId="1523006786">
    <w:abstractNumId w:val="0"/>
  </w:num>
  <w:num w:numId="10" w16cid:durableId="1695616680">
    <w:abstractNumId w:val="11"/>
  </w:num>
  <w:num w:numId="11" w16cid:durableId="221719336">
    <w:abstractNumId w:val="10"/>
  </w:num>
  <w:num w:numId="12" w16cid:durableId="1804808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B0F"/>
    <w:rsid w:val="00007959"/>
    <w:rsid w:val="00012B44"/>
    <w:rsid w:val="0001325D"/>
    <w:rsid w:val="000266FB"/>
    <w:rsid w:val="00026AB1"/>
    <w:rsid w:val="000337B7"/>
    <w:rsid w:val="00034616"/>
    <w:rsid w:val="00044792"/>
    <w:rsid w:val="0005181E"/>
    <w:rsid w:val="00052ACB"/>
    <w:rsid w:val="0005638D"/>
    <w:rsid w:val="00057A31"/>
    <w:rsid w:val="0006063C"/>
    <w:rsid w:val="000615D1"/>
    <w:rsid w:val="00067506"/>
    <w:rsid w:val="00072A12"/>
    <w:rsid w:val="0007328D"/>
    <w:rsid w:val="00075684"/>
    <w:rsid w:val="0007711B"/>
    <w:rsid w:val="00084360"/>
    <w:rsid w:val="000908DB"/>
    <w:rsid w:val="000A43C1"/>
    <w:rsid w:val="000B1690"/>
    <w:rsid w:val="000B4518"/>
    <w:rsid w:val="000B714E"/>
    <w:rsid w:val="000C0A5E"/>
    <w:rsid w:val="000C0C2E"/>
    <w:rsid w:val="000C24D9"/>
    <w:rsid w:val="000C3252"/>
    <w:rsid w:val="000C32EF"/>
    <w:rsid w:val="000D0A6A"/>
    <w:rsid w:val="000E36C9"/>
    <w:rsid w:val="000E7DDA"/>
    <w:rsid w:val="000F17FA"/>
    <w:rsid w:val="000F3246"/>
    <w:rsid w:val="00100258"/>
    <w:rsid w:val="00100264"/>
    <w:rsid w:val="00103A03"/>
    <w:rsid w:val="001144E2"/>
    <w:rsid w:val="00116485"/>
    <w:rsid w:val="00121D29"/>
    <w:rsid w:val="00124F6F"/>
    <w:rsid w:val="00130DFD"/>
    <w:rsid w:val="00132CDD"/>
    <w:rsid w:val="00133D5B"/>
    <w:rsid w:val="00135A79"/>
    <w:rsid w:val="00140FD2"/>
    <w:rsid w:val="00146DBC"/>
    <w:rsid w:val="001471F2"/>
    <w:rsid w:val="0015074B"/>
    <w:rsid w:val="00152B79"/>
    <w:rsid w:val="0016394F"/>
    <w:rsid w:val="001653D3"/>
    <w:rsid w:val="00165665"/>
    <w:rsid w:val="001708B6"/>
    <w:rsid w:val="00175E6D"/>
    <w:rsid w:val="0018170F"/>
    <w:rsid w:val="00184C91"/>
    <w:rsid w:val="001A2F8F"/>
    <w:rsid w:val="001A44F7"/>
    <w:rsid w:val="001A5B68"/>
    <w:rsid w:val="001C2191"/>
    <w:rsid w:val="001C30FA"/>
    <w:rsid w:val="001C4466"/>
    <w:rsid w:val="001D05C5"/>
    <w:rsid w:val="001E0FB0"/>
    <w:rsid w:val="001E3BE3"/>
    <w:rsid w:val="001E4CFA"/>
    <w:rsid w:val="001F5375"/>
    <w:rsid w:val="00200C6B"/>
    <w:rsid w:val="002111E5"/>
    <w:rsid w:val="00213F0C"/>
    <w:rsid w:val="00230888"/>
    <w:rsid w:val="00231ED9"/>
    <w:rsid w:val="00237437"/>
    <w:rsid w:val="00240A2F"/>
    <w:rsid w:val="00241883"/>
    <w:rsid w:val="0025377A"/>
    <w:rsid w:val="00260CB0"/>
    <w:rsid w:val="00267F62"/>
    <w:rsid w:val="00273D23"/>
    <w:rsid w:val="0027693C"/>
    <w:rsid w:val="00281984"/>
    <w:rsid w:val="002907E6"/>
    <w:rsid w:val="0029574A"/>
    <w:rsid w:val="0029639D"/>
    <w:rsid w:val="002B0962"/>
    <w:rsid w:val="002B46CD"/>
    <w:rsid w:val="002C046C"/>
    <w:rsid w:val="002C65C6"/>
    <w:rsid w:val="002D4706"/>
    <w:rsid w:val="002F062F"/>
    <w:rsid w:val="002F5013"/>
    <w:rsid w:val="002F50FA"/>
    <w:rsid w:val="002F57C0"/>
    <w:rsid w:val="002F683F"/>
    <w:rsid w:val="00300F30"/>
    <w:rsid w:val="00301BF2"/>
    <w:rsid w:val="003162C7"/>
    <w:rsid w:val="003222E3"/>
    <w:rsid w:val="00323043"/>
    <w:rsid w:val="00325941"/>
    <w:rsid w:val="00326F90"/>
    <w:rsid w:val="00337178"/>
    <w:rsid w:val="00340A5F"/>
    <w:rsid w:val="00346170"/>
    <w:rsid w:val="00350C5D"/>
    <w:rsid w:val="0035179F"/>
    <w:rsid w:val="003573E0"/>
    <w:rsid w:val="00371B1B"/>
    <w:rsid w:val="00373B10"/>
    <w:rsid w:val="00381F60"/>
    <w:rsid w:val="00382717"/>
    <w:rsid w:val="003A42B5"/>
    <w:rsid w:val="003A56B3"/>
    <w:rsid w:val="003A5E93"/>
    <w:rsid w:val="003B3D9B"/>
    <w:rsid w:val="003B5EF3"/>
    <w:rsid w:val="003C2740"/>
    <w:rsid w:val="003C425C"/>
    <w:rsid w:val="003D2CF9"/>
    <w:rsid w:val="003D73E0"/>
    <w:rsid w:val="003E6EB5"/>
    <w:rsid w:val="003F4109"/>
    <w:rsid w:val="003F57B7"/>
    <w:rsid w:val="004150D2"/>
    <w:rsid w:val="0042042B"/>
    <w:rsid w:val="004211B3"/>
    <w:rsid w:val="00425DC4"/>
    <w:rsid w:val="004316C7"/>
    <w:rsid w:val="00435CE0"/>
    <w:rsid w:val="0043772F"/>
    <w:rsid w:val="004377D3"/>
    <w:rsid w:val="0044365F"/>
    <w:rsid w:val="00443BE6"/>
    <w:rsid w:val="00445260"/>
    <w:rsid w:val="00453236"/>
    <w:rsid w:val="00455C67"/>
    <w:rsid w:val="004573E7"/>
    <w:rsid w:val="00465BAE"/>
    <w:rsid w:val="00480AF1"/>
    <w:rsid w:val="0048268D"/>
    <w:rsid w:val="004868CC"/>
    <w:rsid w:val="004A4B09"/>
    <w:rsid w:val="004B6123"/>
    <w:rsid w:val="004C08B1"/>
    <w:rsid w:val="004C2440"/>
    <w:rsid w:val="004C49B1"/>
    <w:rsid w:val="004C651E"/>
    <w:rsid w:val="004D2E16"/>
    <w:rsid w:val="004D57B7"/>
    <w:rsid w:val="004E0408"/>
    <w:rsid w:val="004E6D22"/>
    <w:rsid w:val="004F5770"/>
    <w:rsid w:val="004F72F8"/>
    <w:rsid w:val="0050712F"/>
    <w:rsid w:val="005162BD"/>
    <w:rsid w:val="005168D1"/>
    <w:rsid w:val="005170B0"/>
    <w:rsid w:val="00520886"/>
    <w:rsid w:val="005246B4"/>
    <w:rsid w:val="00531AEC"/>
    <w:rsid w:val="00535E4A"/>
    <w:rsid w:val="005376D9"/>
    <w:rsid w:val="00562716"/>
    <w:rsid w:val="00564D1F"/>
    <w:rsid w:val="00564DBC"/>
    <w:rsid w:val="00565998"/>
    <w:rsid w:val="00565DC5"/>
    <w:rsid w:val="00574ACA"/>
    <w:rsid w:val="00577928"/>
    <w:rsid w:val="005805F3"/>
    <w:rsid w:val="00592B5B"/>
    <w:rsid w:val="005950AE"/>
    <w:rsid w:val="005A5DCC"/>
    <w:rsid w:val="005A677E"/>
    <w:rsid w:val="005A6DDC"/>
    <w:rsid w:val="005A76C2"/>
    <w:rsid w:val="005B1085"/>
    <w:rsid w:val="005C20E0"/>
    <w:rsid w:val="005C2E67"/>
    <w:rsid w:val="005C4D53"/>
    <w:rsid w:val="005C52FA"/>
    <w:rsid w:val="005D2626"/>
    <w:rsid w:val="005D6AC9"/>
    <w:rsid w:val="005E14F5"/>
    <w:rsid w:val="005E7792"/>
    <w:rsid w:val="005F1BA8"/>
    <w:rsid w:val="005F52C1"/>
    <w:rsid w:val="006151FA"/>
    <w:rsid w:val="00617D0B"/>
    <w:rsid w:val="00623D8E"/>
    <w:rsid w:val="00624FE3"/>
    <w:rsid w:val="00630A73"/>
    <w:rsid w:val="00633397"/>
    <w:rsid w:val="006340D2"/>
    <w:rsid w:val="006375F0"/>
    <w:rsid w:val="00644C74"/>
    <w:rsid w:val="006565E6"/>
    <w:rsid w:val="00657F57"/>
    <w:rsid w:val="00661804"/>
    <w:rsid w:val="00665C15"/>
    <w:rsid w:val="00670738"/>
    <w:rsid w:val="00670C40"/>
    <w:rsid w:val="0067339F"/>
    <w:rsid w:val="0067446C"/>
    <w:rsid w:val="00683942"/>
    <w:rsid w:val="00684C32"/>
    <w:rsid w:val="0068533A"/>
    <w:rsid w:val="00690935"/>
    <w:rsid w:val="00693A41"/>
    <w:rsid w:val="00696981"/>
    <w:rsid w:val="006A198B"/>
    <w:rsid w:val="006A72D9"/>
    <w:rsid w:val="006B4DB0"/>
    <w:rsid w:val="006B517A"/>
    <w:rsid w:val="006B73D6"/>
    <w:rsid w:val="006C2B65"/>
    <w:rsid w:val="006C3A20"/>
    <w:rsid w:val="006D4F23"/>
    <w:rsid w:val="006E2F4E"/>
    <w:rsid w:val="006E35CE"/>
    <w:rsid w:val="006F17E2"/>
    <w:rsid w:val="006F3B96"/>
    <w:rsid w:val="006F71B6"/>
    <w:rsid w:val="006F7848"/>
    <w:rsid w:val="00700FEC"/>
    <w:rsid w:val="00701608"/>
    <w:rsid w:val="00703814"/>
    <w:rsid w:val="00706526"/>
    <w:rsid w:val="00706A43"/>
    <w:rsid w:val="00710B9D"/>
    <w:rsid w:val="007164E3"/>
    <w:rsid w:val="00723CDB"/>
    <w:rsid w:val="00723EA0"/>
    <w:rsid w:val="00730C30"/>
    <w:rsid w:val="00734020"/>
    <w:rsid w:val="00734E3D"/>
    <w:rsid w:val="00741086"/>
    <w:rsid w:val="0074299F"/>
    <w:rsid w:val="00742D6C"/>
    <w:rsid w:val="0076084C"/>
    <w:rsid w:val="00763685"/>
    <w:rsid w:val="0076677A"/>
    <w:rsid w:val="007805B7"/>
    <w:rsid w:val="007865D5"/>
    <w:rsid w:val="00791295"/>
    <w:rsid w:val="00793274"/>
    <w:rsid w:val="00793353"/>
    <w:rsid w:val="007B61DA"/>
    <w:rsid w:val="007C2B05"/>
    <w:rsid w:val="007D250A"/>
    <w:rsid w:val="007D3A45"/>
    <w:rsid w:val="007F1C39"/>
    <w:rsid w:val="007F6971"/>
    <w:rsid w:val="007F7377"/>
    <w:rsid w:val="00804693"/>
    <w:rsid w:val="00806D23"/>
    <w:rsid w:val="00813238"/>
    <w:rsid w:val="00814E17"/>
    <w:rsid w:val="00823BB4"/>
    <w:rsid w:val="00833F2D"/>
    <w:rsid w:val="008407E1"/>
    <w:rsid w:val="00844EA8"/>
    <w:rsid w:val="0084626A"/>
    <w:rsid w:val="0084656D"/>
    <w:rsid w:val="008522E0"/>
    <w:rsid w:val="00852647"/>
    <w:rsid w:val="00853F6D"/>
    <w:rsid w:val="00862EEC"/>
    <w:rsid w:val="00882A1B"/>
    <w:rsid w:val="008833D6"/>
    <w:rsid w:val="008863FC"/>
    <w:rsid w:val="00886F47"/>
    <w:rsid w:val="00891527"/>
    <w:rsid w:val="00891760"/>
    <w:rsid w:val="008A2426"/>
    <w:rsid w:val="008B2B4B"/>
    <w:rsid w:val="008B433E"/>
    <w:rsid w:val="008C4556"/>
    <w:rsid w:val="008D65F2"/>
    <w:rsid w:val="008E4519"/>
    <w:rsid w:val="008F57A3"/>
    <w:rsid w:val="009000BC"/>
    <w:rsid w:val="00905F87"/>
    <w:rsid w:val="00911C62"/>
    <w:rsid w:val="00917467"/>
    <w:rsid w:val="0091786F"/>
    <w:rsid w:val="00925321"/>
    <w:rsid w:val="009275FA"/>
    <w:rsid w:val="00927C95"/>
    <w:rsid w:val="00932B76"/>
    <w:rsid w:val="009440C1"/>
    <w:rsid w:val="0095632F"/>
    <w:rsid w:val="00956C42"/>
    <w:rsid w:val="00960617"/>
    <w:rsid w:val="00962306"/>
    <w:rsid w:val="00982BFA"/>
    <w:rsid w:val="009843A0"/>
    <w:rsid w:val="00985297"/>
    <w:rsid w:val="00985669"/>
    <w:rsid w:val="00992A6E"/>
    <w:rsid w:val="00994A50"/>
    <w:rsid w:val="009A154F"/>
    <w:rsid w:val="009B508E"/>
    <w:rsid w:val="009B782A"/>
    <w:rsid w:val="009C044F"/>
    <w:rsid w:val="009C1220"/>
    <w:rsid w:val="009C75DC"/>
    <w:rsid w:val="009D33CF"/>
    <w:rsid w:val="009F28EB"/>
    <w:rsid w:val="00A113A7"/>
    <w:rsid w:val="00A11545"/>
    <w:rsid w:val="00A135F1"/>
    <w:rsid w:val="00A27315"/>
    <w:rsid w:val="00A414C8"/>
    <w:rsid w:val="00A4259E"/>
    <w:rsid w:val="00A60393"/>
    <w:rsid w:val="00A65A91"/>
    <w:rsid w:val="00A67668"/>
    <w:rsid w:val="00A74F0E"/>
    <w:rsid w:val="00A75C32"/>
    <w:rsid w:val="00A763CB"/>
    <w:rsid w:val="00A82255"/>
    <w:rsid w:val="00A860CE"/>
    <w:rsid w:val="00A86A10"/>
    <w:rsid w:val="00A87719"/>
    <w:rsid w:val="00AA1D8D"/>
    <w:rsid w:val="00AB0443"/>
    <w:rsid w:val="00AC3F1D"/>
    <w:rsid w:val="00AD261A"/>
    <w:rsid w:val="00AE2E78"/>
    <w:rsid w:val="00AF5BDD"/>
    <w:rsid w:val="00B02F5D"/>
    <w:rsid w:val="00B2105A"/>
    <w:rsid w:val="00B3316A"/>
    <w:rsid w:val="00B33FC6"/>
    <w:rsid w:val="00B36A01"/>
    <w:rsid w:val="00B46535"/>
    <w:rsid w:val="00B47730"/>
    <w:rsid w:val="00B4796B"/>
    <w:rsid w:val="00B53C5F"/>
    <w:rsid w:val="00B543F2"/>
    <w:rsid w:val="00B6248B"/>
    <w:rsid w:val="00B65574"/>
    <w:rsid w:val="00B66323"/>
    <w:rsid w:val="00B7069D"/>
    <w:rsid w:val="00B71DFE"/>
    <w:rsid w:val="00B75952"/>
    <w:rsid w:val="00B77D75"/>
    <w:rsid w:val="00B93470"/>
    <w:rsid w:val="00BA0E18"/>
    <w:rsid w:val="00BA2F16"/>
    <w:rsid w:val="00BA6E31"/>
    <w:rsid w:val="00BA7CCA"/>
    <w:rsid w:val="00BB64F1"/>
    <w:rsid w:val="00BD354C"/>
    <w:rsid w:val="00BE76E1"/>
    <w:rsid w:val="00BF226E"/>
    <w:rsid w:val="00BF4A6D"/>
    <w:rsid w:val="00BF7FD2"/>
    <w:rsid w:val="00C01F35"/>
    <w:rsid w:val="00C1037F"/>
    <w:rsid w:val="00C10403"/>
    <w:rsid w:val="00C15A4F"/>
    <w:rsid w:val="00C16648"/>
    <w:rsid w:val="00C21337"/>
    <w:rsid w:val="00C2391C"/>
    <w:rsid w:val="00C23F1A"/>
    <w:rsid w:val="00C25489"/>
    <w:rsid w:val="00C373F7"/>
    <w:rsid w:val="00C37EB9"/>
    <w:rsid w:val="00C40FF6"/>
    <w:rsid w:val="00C42FC9"/>
    <w:rsid w:val="00C6370A"/>
    <w:rsid w:val="00C644DD"/>
    <w:rsid w:val="00C70134"/>
    <w:rsid w:val="00C71EB1"/>
    <w:rsid w:val="00C74CAF"/>
    <w:rsid w:val="00C75742"/>
    <w:rsid w:val="00C95C01"/>
    <w:rsid w:val="00CA338B"/>
    <w:rsid w:val="00CA351E"/>
    <w:rsid w:val="00CA4B0B"/>
    <w:rsid w:val="00CB0664"/>
    <w:rsid w:val="00CB5CBB"/>
    <w:rsid w:val="00CC0746"/>
    <w:rsid w:val="00CC2C0E"/>
    <w:rsid w:val="00CD0399"/>
    <w:rsid w:val="00CD187C"/>
    <w:rsid w:val="00CD4221"/>
    <w:rsid w:val="00CF0ACE"/>
    <w:rsid w:val="00CF3244"/>
    <w:rsid w:val="00CF6970"/>
    <w:rsid w:val="00D001D5"/>
    <w:rsid w:val="00D0363A"/>
    <w:rsid w:val="00D0745D"/>
    <w:rsid w:val="00D128A7"/>
    <w:rsid w:val="00D13637"/>
    <w:rsid w:val="00D144AD"/>
    <w:rsid w:val="00D22BD0"/>
    <w:rsid w:val="00D30416"/>
    <w:rsid w:val="00D37D21"/>
    <w:rsid w:val="00D40040"/>
    <w:rsid w:val="00D43CCC"/>
    <w:rsid w:val="00D448D1"/>
    <w:rsid w:val="00D4686C"/>
    <w:rsid w:val="00D61115"/>
    <w:rsid w:val="00D63806"/>
    <w:rsid w:val="00D67FE7"/>
    <w:rsid w:val="00D70A62"/>
    <w:rsid w:val="00D9140F"/>
    <w:rsid w:val="00D93C97"/>
    <w:rsid w:val="00DA17AD"/>
    <w:rsid w:val="00DA2912"/>
    <w:rsid w:val="00DA6254"/>
    <w:rsid w:val="00DA78EA"/>
    <w:rsid w:val="00DB364E"/>
    <w:rsid w:val="00DB3B7A"/>
    <w:rsid w:val="00DB3C63"/>
    <w:rsid w:val="00DB4A01"/>
    <w:rsid w:val="00DB6347"/>
    <w:rsid w:val="00DC0795"/>
    <w:rsid w:val="00DD6228"/>
    <w:rsid w:val="00DD68E6"/>
    <w:rsid w:val="00DE3E22"/>
    <w:rsid w:val="00DE5B9C"/>
    <w:rsid w:val="00DE6824"/>
    <w:rsid w:val="00DE73CC"/>
    <w:rsid w:val="00DF495C"/>
    <w:rsid w:val="00E04DA7"/>
    <w:rsid w:val="00E15336"/>
    <w:rsid w:val="00E21F46"/>
    <w:rsid w:val="00E24D07"/>
    <w:rsid w:val="00E25A62"/>
    <w:rsid w:val="00E4001E"/>
    <w:rsid w:val="00E44198"/>
    <w:rsid w:val="00E512FF"/>
    <w:rsid w:val="00E54FDC"/>
    <w:rsid w:val="00E65BD1"/>
    <w:rsid w:val="00E67500"/>
    <w:rsid w:val="00E725DC"/>
    <w:rsid w:val="00E8781A"/>
    <w:rsid w:val="00E90433"/>
    <w:rsid w:val="00E90A42"/>
    <w:rsid w:val="00E93F7F"/>
    <w:rsid w:val="00E96B54"/>
    <w:rsid w:val="00EB0B9F"/>
    <w:rsid w:val="00EB3F7F"/>
    <w:rsid w:val="00EC1D88"/>
    <w:rsid w:val="00ED43DC"/>
    <w:rsid w:val="00ED6D62"/>
    <w:rsid w:val="00EE10C9"/>
    <w:rsid w:val="00EE2413"/>
    <w:rsid w:val="00EE7274"/>
    <w:rsid w:val="00F056F8"/>
    <w:rsid w:val="00F1728C"/>
    <w:rsid w:val="00F36360"/>
    <w:rsid w:val="00F3640C"/>
    <w:rsid w:val="00F3676E"/>
    <w:rsid w:val="00F40D83"/>
    <w:rsid w:val="00F41427"/>
    <w:rsid w:val="00F4244E"/>
    <w:rsid w:val="00F6161D"/>
    <w:rsid w:val="00F64427"/>
    <w:rsid w:val="00F721A4"/>
    <w:rsid w:val="00FA22FC"/>
    <w:rsid w:val="00FA33B6"/>
    <w:rsid w:val="00FA3BB8"/>
    <w:rsid w:val="00FA4BBD"/>
    <w:rsid w:val="00FB13B2"/>
    <w:rsid w:val="00FC3254"/>
    <w:rsid w:val="00FC693F"/>
    <w:rsid w:val="00FC7297"/>
    <w:rsid w:val="00FD774D"/>
    <w:rsid w:val="00FE5027"/>
    <w:rsid w:val="00FF3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895A47"/>
  <w14:defaultImageDpi w14:val="300"/>
  <w15:docId w15:val="{37B93CA2-8324-49BB-89A5-25AF3FE8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CBB"/>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F0ACE"/>
    <w:rPr>
      <w:color w:val="666666"/>
    </w:rPr>
  </w:style>
  <w:style w:type="paragraph" w:styleId="NormalWeb">
    <w:name w:val="Normal (Web)"/>
    <w:basedOn w:val="Normal"/>
    <w:uiPriority w:val="99"/>
    <w:semiHidden/>
    <w:unhideWhenUsed/>
    <w:rsid w:val="00A135F1"/>
    <w:rPr>
      <w:rFonts w:cs="Times New Roman"/>
      <w:szCs w:val="24"/>
    </w:rPr>
  </w:style>
  <w:style w:type="character" w:styleId="Hyperlink">
    <w:name w:val="Hyperlink"/>
    <w:basedOn w:val="DefaultParagraphFont"/>
    <w:uiPriority w:val="99"/>
    <w:unhideWhenUsed/>
    <w:rsid w:val="00012B44"/>
    <w:rPr>
      <w:color w:val="0000FF" w:themeColor="hyperlink"/>
      <w:u w:val="single"/>
    </w:rPr>
  </w:style>
  <w:style w:type="character" w:styleId="UnresolvedMention">
    <w:name w:val="Unresolved Mention"/>
    <w:basedOn w:val="DefaultParagraphFont"/>
    <w:uiPriority w:val="99"/>
    <w:semiHidden/>
    <w:unhideWhenUsed/>
    <w:rsid w:val="00012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521">
      <w:bodyDiv w:val="1"/>
      <w:marLeft w:val="0"/>
      <w:marRight w:val="0"/>
      <w:marTop w:val="0"/>
      <w:marBottom w:val="0"/>
      <w:divBdr>
        <w:top w:val="none" w:sz="0" w:space="0" w:color="auto"/>
        <w:left w:val="none" w:sz="0" w:space="0" w:color="auto"/>
        <w:bottom w:val="none" w:sz="0" w:space="0" w:color="auto"/>
        <w:right w:val="none" w:sz="0" w:space="0" w:color="auto"/>
      </w:divBdr>
    </w:div>
    <w:div w:id="19859338">
      <w:bodyDiv w:val="1"/>
      <w:marLeft w:val="0"/>
      <w:marRight w:val="0"/>
      <w:marTop w:val="0"/>
      <w:marBottom w:val="0"/>
      <w:divBdr>
        <w:top w:val="none" w:sz="0" w:space="0" w:color="auto"/>
        <w:left w:val="none" w:sz="0" w:space="0" w:color="auto"/>
        <w:bottom w:val="none" w:sz="0" w:space="0" w:color="auto"/>
        <w:right w:val="none" w:sz="0" w:space="0" w:color="auto"/>
      </w:divBdr>
    </w:div>
    <w:div w:id="50202650">
      <w:bodyDiv w:val="1"/>
      <w:marLeft w:val="0"/>
      <w:marRight w:val="0"/>
      <w:marTop w:val="0"/>
      <w:marBottom w:val="0"/>
      <w:divBdr>
        <w:top w:val="none" w:sz="0" w:space="0" w:color="auto"/>
        <w:left w:val="none" w:sz="0" w:space="0" w:color="auto"/>
        <w:bottom w:val="none" w:sz="0" w:space="0" w:color="auto"/>
        <w:right w:val="none" w:sz="0" w:space="0" w:color="auto"/>
      </w:divBdr>
    </w:div>
    <w:div w:id="77211974">
      <w:bodyDiv w:val="1"/>
      <w:marLeft w:val="0"/>
      <w:marRight w:val="0"/>
      <w:marTop w:val="0"/>
      <w:marBottom w:val="0"/>
      <w:divBdr>
        <w:top w:val="none" w:sz="0" w:space="0" w:color="auto"/>
        <w:left w:val="none" w:sz="0" w:space="0" w:color="auto"/>
        <w:bottom w:val="none" w:sz="0" w:space="0" w:color="auto"/>
        <w:right w:val="none" w:sz="0" w:space="0" w:color="auto"/>
      </w:divBdr>
    </w:div>
    <w:div w:id="181942225">
      <w:bodyDiv w:val="1"/>
      <w:marLeft w:val="0"/>
      <w:marRight w:val="0"/>
      <w:marTop w:val="0"/>
      <w:marBottom w:val="0"/>
      <w:divBdr>
        <w:top w:val="none" w:sz="0" w:space="0" w:color="auto"/>
        <w:left w:val="none" w:sz="0" w:space="0" w:color="auto"/>
        <w:bottom w:val="none" w:sz="0" w:space="0" w:color="auto"/>
        <w:right w:val="none" w:sz="0" w:space="0" w:color="auto"/>
      </w:divBdr>
    </w:div>
    <w:div w:id="200284849">
      <w:bodyDiv w:val="1"/>
      <w:marLeft w:val="0"/>
      <w:marRight w:val="0"/>
      <w:marTop w:val="0"/>
      <w:marBottom w:val="0"/>
      <w:divBdr>
        <w:top w:val="none" w:sz="0" w:space="0" w:color="auto"/>
        <w:left w:val="none" w:sz="0" w:space="0" w:color="auto"/>
        <w:bottom w:val="none" w:sz="0" w:space="0" w:color="auto"/>
        <w:right w:val="none" w:sz="0" w:space="0" w:color="auto"/>
      </w:divBdr>
    </w:div>
    <w:div w:id="291137450">
      <w:bodyDiv w:val="1"/>
      <w:marLeft w:val="0"/>
      <w:marRight w:val="0"/>
      <w:marTop w:val="0"/>
      <w:marBottom w:val="0"/>
      <w:divBdr>
        <w:top w:val="none" w:sz="0" w:space="0" w:color="auto"/>
        <w:left w:val="none" w:sz="0" w:space="0" w:color="auto"/>
        <w:bottom w:val="none" w:sz="0" w:space="0" w:color="auto"/>
        <w:right w:val="none" w:sz="0" w:space="0" w:color="auto"/>
      </w:divBdr>
    </w:div>
    <w:div w:id="372317062">
      <w:bodyDiv w:val="1"/>
      <w:marLeft w:val="0"/>
      <w:marRight w:val="0"/>
      <w:marTop w:val="0"/>
      <w:marBottom w:val="0"/>
      <w:divBdr>
        <w:top w:val="none" w:sz="0" w:space="0" w:color="auto"/>
        <w:left w:val="none" w:sz="0" w:space="0" w:color="auto"/>
        <w:bottom w:val="none" w:sz="0" w:space="0" w:color="auto"/>
        <w:right w:val="none" w:sz="0" w:space="0" w:color="auto"/>
      </w:divBdr>
      <w:divsChild>
        <w:div w:id="557473945">
          <w:marLeft w:val="0"/>
          <w:marRight w:val="0"/>
          <w:marTop w:val="0"/>
          <w:marBottom w:val="0"/>
          <w:divBdr>
            <w:top w:val="none" w:sz="0" w:space="0" w:color="auto"/>
            <w:left w:val="none" w:sz="0" w:space="0" w:color="auto"/>
            <w:bottom w:val="none" w:sz="0" w:space="0" w:color="auto"/>
            <w:right w:val="none" w:sz="0" w:space="0" w:color="auto"/>
          </w:divBdr>
          <w:divsChild>
            <w:div w:id="933442871">
              <w:marLeft w:val="0"/>
              <w:marRight w:val="0"/>
              <w:marTop w:val="0"/>
              <w:marBottom w:val="0"/>
              <w:divBdr>
                <w:top w:val="none" w:sz="0" w:space="0" w:color="auto"/>
                <w:left w:val="none" w:sz="0" w:space="0" w:color="auto"/>
                <w:bottom w:val="none" w:sz="0" w:space="0" w:color="auto"/>
                <w:right w:val="none" w:sz="0" w:space="0" w:color="auto"/>
              </w:divBdr>
              <w:divsChild>
                <w:div w:id="1529677832">
                  <w:marLeft w:val="0"/>
                  <w:marRight w:val="0"/>
                  <w:marTop w:val="0"/>
                  <w:marBottom w:val="0"/>
                  <w:divBdr>
                    <w:top w:val="none" w:sz="0" w:space="0" w:color="auto"/>
                    <w:left w:val="none" w:sz="0" w:space="0" w:color="auto"/>
                    <w:bottom w:val="none" w:sz="0" w:space="0" w:color="auto"/>
                    <w:right w:val="none" w:sz="0" w:space="0" w:color="auto"/>
                  </w:divBdr>
                  <w:divsChild>
                    <w:div w:id="261961838">
                      <w:marLeft w:val="0"/>
                      <w:marRight w:val="0"/>
                      <w:marTop w:val="0"/>
                      <w:marBottom w:val="0"/>
                      <w:divBdr>
                        <w:top w:val="none" w:sz="0" w:space="0" w:color="auto"/>
                        <w:left w:val="none" w:sz="0" w:space="0" w:color="auto"/>
                        <w:bottom w:val="none" w:sz="0" w:space="0" w:color="auto"/>
                        <w:right w:val="none" w:sz="0" w:space="0" w:color="auto"/>
                      </w:divBdr>
                      <w:divsChild>
                        <w:div w:id="2108766889">
                          <w:marLeft w:val="0"/>
                          <w:marRight w:val="0"/>
                          <w:marTop w:val="0"/>
                          <w:marBottom w:val="0"/>
                          <w:divBdr>
                            <w:top w:val="none" w:sz="0" w:space="0" w:color="auto"/>
                            <w:left w:val="none" w:sz="0" w:space="0" w:color="auto"/>
                            <w:bottom w:val="none" w:sz="0" w:space="0" w:color="auto"/>
                            <w:right w:val="none" w:sz="0" w:space="0" w:color="auto"/>
                          </w:divBdr>
                          <w:divsChild>
                            <w:div w:id="1958102157">
                              <w:marLeft w:val="0"/>
                              <w:marRight w:val="0"/>
                              <w:marTop w:val="0"/>
                              <w:marBottom w:val="0"/>
                              <w:divBdr>
                                <w:top w:val="none" w:sz="0" w:space="0" w:color="auto"/>
                                <w:left w:val="none" w:sz="0" w:space="0" w:color="auto"/>
                                <w:bottom w:val="none" w:sz="0" w:space="0" w:color="auto"/>
                                <w:right w:val="none" w:sz="0" w:space="0" w:color="auto"/>
                              </w:divBdr>
                              <w:divsChild>
                                <w:div w:id="1069890590">
                                  <w:marLeft w:val="0"/>
                                  <w:marRight w:val="0"/>
                                  <w:marTop w:val="0"/>
                                  <w:marBottom w:val="0"/>
                                  <w:divBdr>
                                    <w:top w:val="none" w:sz="0" w:space="0" w:color="auto"/>
                                    <w:left w:val="none" w:sz="0" w:space="0" w:color="auto"/>
                                    <w:bottom w:val="none" w:sz="0" w:space="0" w:color="auto"/>
                                    <w:right w:val="none" w:sz="0" w:space="0" w:color="auto"/>
                                  </w:divBdr>
                                  <w:divsChild>
                                    <w:div w:id="18694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2061449">
          <w:marLeft w:val="0"/>
          <w:marRight w:val="0"/>
          <w:marTop w:val="0"/>
          <w:marBottom w:val="0"/>
          <w:divBdr>
            <w:top w:val="none" w:sz="0" w:space="0" w:color="auto"/>
            <w:left w:val="none" w:sz="0" w:space="0" w:color="auto"/>
            <w:bottom w:val="none" w:sz="0" w:space="0" w:color="auto"/>
            <w:right w:val="none" w:sz="0" w:space="0" w:color="auto"/>
          </w:divBdr>
          <w:divsChild>
            <w:div w:id="979191447">
              <w:marLeft w:val="0"/>
              <w:marRight w:val="0"/>
              <w:marTop w:val="0"/>
              <w:marBottom w:val="0"/>
              <w:divBdr>
                <w:top w:val="none" w:sz="0" w:space="0" w:color="auto"/>
                <w:left w:val="none" w:sz="0" w:space="0" w:color="auto"/>
                <w:bottom w:val="none" w:sz="0" w:space="0" w:color="auto"/>
                <w:right w:val="none" w:sz="0" w:space="0" w:color="auto"/>
              </w:divBdr>
              <w:divsChild>
                <w:div w:id="1135176983">
                  <w:marLeft w:val="0"/>
                  <w:marRight w:val="0"/>
                  <w:marTop w:val="0"/>
                  <w:marBottom w:val="0"/>
                  <w:divBdr>
                    <w:top w:val="none" w:sz="0" w:space="0" w:color="auto"/>
                    <w:left w:val="none" w:sz="0" w:space="0" w:color="auto"/>
                    <w:bottom w:val="none" w:sz="0" w:space="0" w:color="auto"/>
                    <w:right w:val="none" w:sz="0" w:space="0" w:color="auto"/>
                  </w:divBdr>
                  <w:divsChild>
                    <w:div w:id="810243867">
                      <w:marLeft w:val="0"/>
                      <w:marRight w:val="0"/>
                      <w:marTop w:val="0"/>
                      <w:marBottom w:val="0"/>
                      <w:divBdr>
                        <w:top w:val="none" w:sz="0" w:space="0" w:color="auto"/>
                        <w:left w:val="none" w:sz="0" w:space="0" w:color="auto"/>
                        <w:bottom w:val="none" w:sz="0" w:space="0" w:color="auto"/>
                        <w:right w:val="none" w:sz="0" w:space="0" w:color="auto"/>
                      </w:divBdr>
                      <w:divsChild>
                        <w:div w:id="177035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318827">
      <w:bodyDiv w:val="1"/>
      <w:marLeft w:val="0"/>
      <w:marRight w:val="0"/>
      <w:marTop w:val="0"/>
      <w:marBottom w:val="0"/>
      <w:divBdr>
        <w:top w:val="none" w:sz="0" w:space="0" w:color="auto"/>
        <w:left w:val="none" w:sz="0" w:space="0" w:color="auto"/>
        <w:bottom w:val="none" w:sz="0" w:space="0" w:color="auto"/>
        <w:right w:val="none" w:sz="0" w:space="0" w:color="auto"/>
      </w:divBdr>
      <w:divsChild>
        <w:div w:id="541208719">
          <w:marLeft w:val="0"/>
          <w:marRight w:val="0"/>
          <w:marTop w:val="0"/>
          <w:marBottom w:val="0"/>
          <w:divBdr>
            <w:top w:val="none" w:sz="0" w:space="0" w:color="auto"/>
            <w:left w:val="none" w:sz="0" w:space="0" w:color="auto"/>
            <w:bottom w:val="none" w:sz="0" w:space="0" w:color="auto"/>
            <w:right w:val="none" w:sz="0" w:space="0" w:color="auto"/>
          </w:divBdr>
          <w:divsChild>
            <w:div w:id="386225539">
              <w:marLeft w:val="0"/>
              <w:marRight w:val="0"/>
              <w:marTop w:val="0"/>
              <w:marBottom w:val="0"/>
              <w:divBdr>
                <w:top w:val="none" w:sz="0" w:space="0" w:color="auto"/>
                <w:left w:val="none" w:sz="0" w:space="0" w:color="auto"/>
                <w:bottom w:val="none" w:sz="0" w:space="0" w:color="auto"/>
                <w:right w:val="none" w:sz="0" w:space="0" w:color="auto"/>
              </w:divBdr>
              <w:divsChild>
                <w:div w:id="1660570119">
                  <w:marLeft w:val="0"/>
                  <w:marRight w:val="0"/>
                  <w:marTop w:val="0"/>
                  <w:marBottom w:val="0"/>
                  <w:divBdr>
                    <w:top w:val="none" w:sz="0" w:space="0" w:color="auto"/>
                    <w:left w:val="none" w:sz="0" w:space="0" w:color="auto"/>
                    <w:bottom w:val="none" w:sz="0" w:space="0" w:color="auto"/>
                    <w:right w:val="none" w:sz="0" w:space="0" w:color="auto"/>
                  </w:divBdr>
                  <w:divsChild>
                    <w:div w:id="1224440646">
                      <w:marLeft w:val="0"/>
                      <w:marRight w:val="0"/>
                      <w:marTop w:val="0"/>
                      <w:marBottom w:val="0"/>
                      <w:divBdr>
                        <w:top w:val="none" w:sz="0" w:space="0" w:color="auto"/>
                        <w:left w:val="none" w:sz="0" w:space="0" w:color="auto"/>
                        <w:bottom w:val="none" w:sz="0" w:space="0" w:color="auto"/>
                        <w:right w:val="none" w:sz="0" w:space="0" w:color="auto"/>
                      </w:divBdr>
                      <w:divsChild>
                        <w:div w:id="1164397979">
                          <w:marLeft w:val="0"/>
                          <w:marRight w:val="0"/>
                          <w:marTop w:val="0"/>
                          <w:marBottom w:val="0"/>
                          <w:divBdr>
                            <w:top w:val="none" w:sz="0" w:space="0" w:color="auto"/>
                            <w:left w:val="none" w:sz="0" w:space="0" w:color="auto"/>
                            <w:bottom w:val="none" w:sz="0" w:space="0" w:color="auto"/>
                            <w:right w:val="none" w:sz="0" w:space="0" w:color="auto"/>
                          </w:divBdr>
                          <w:divsChild>
                            <w:div w:id="805010476">
                              <w:marLeft w:val="0"/>
                              <w:marRight w:val="0"/>
                              <w:marTop w:val="0"/>
                              <w:marBottom w:val="0"/>
                              <w:divBdr>
                                <w:top w:val="none" w:sz="0" w:space="0" w:color="auto"/>
                                <w:left w:val="none" w:sz="0" w:space="0" w:color="auto"/>
                                <w:bottom w:val="none" w:sz="0" w:space="0" w:color="auto"/>
                                <w:right w:val="none" w:sz="0" w:space="0" w:color="auto"/>
                              </w:divBdr>
                              <w:divsChild>
                                <w:div w:id="1390373329">
                                  <w:marLeft w:val="0"/>
                                  <w:marRight w:val="0"/>
                                  <w:marTop w:val="0"/>
                                  <w:marBottom w:val="0"/>
                                  <w:divBdr>
                                    <w:top w:val="none" w:sz="0" w:space="0" w:color="auto"/>
                                    <w:left w:val="none" w:sz="0" w:space="0" w:color="auto"/>
                                    <w:bottom w:val="none" w:sz="0" w:space="0" w:color="auto"/>
                                    <w:right w:val="none" w:sz="0" w:space="0" w:color="auto"/>
                                  </w:divBdr>
                                  <w:divsChild>
                                    <w:div w:id="9509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049685">
          <w:marLeft w:val="0"/>
          <w:marRight w:val="0"/>
          <w:marTop w:val="0"/>
          <w:marBottom w:val="0"/>
          <w:divBdr>
            <w:top w:val="none" w:sz="0" w:space="0" w:color="auto"/>
            <w:left w:val="none" w:sz="0" w:space="0" w:color="auto"/>
            <w:bottom w:val="none" w:sz="0" w:space="0" w:color="auto"/>
            <w:right w:val="none" w:sz="0" w:space="0" w:color="auto"/>
          </w:divBdr>
          <w:divsChild>
            <w:div w:id="907037989">
              <w:marLeft w:val="0"/>
              <w:marRight w:val="0"/>
              <w:marTop w:val="0"/>
              <w:marBottom w:val="0"/>
              <w:divBdr>
                <w:top w:val="none" w:sz="0" w:space="0" w:color="auto"/>
                <w:left w:val="none" w:sz="0" w:space="0" w:color="auto"/>
                <w:bottom w:val="none" w:sz="0" w:space="0" w:color="auto"/>
                <w:right w:val="none" w:sz="0" w:space="0" w:color="auto"/>
              </w:divBdr>
              <w:divsChild>
                <w:div w:id="1255746875">
                  <w:marLeft w:val="0"/>
                  <w:marRight w:val="0"/>
                  <w:marTop w:val="0"/>
                  <w:marBottom w:val="0"/>
                  <w:divBdr>
                    <w:top w:val="none" w:sz="0" w:space="0" w:color="auto"/>
                    <w:left w:val="none" w:sz="0" w:space="0" w:color="auto"/>
                    <w:bottom w:val="none" w:sz="0" w:space="0" w:color="auto"/>
                    <w:right w:val="none" w:sz="0" w:space="0" w:color="auto"/>
                  </w:divBdr>
                  <w:divsChild>
                    <w:div w:id="154760569">
                      <w:marLeft w:val="0"/>
                      <w:marRight w:val="0"/>
                      <w:marTop w:val="0"/>
                      <w:marBottom w:val="0"/>
                      <w:divBdr>
                        <w:top w:val="none" w:sz="0" w:space="0" w:color="auto"/>
                        <w:left w:val="none" w:sz="0" w:space="0" w:color="auto"/>
                        <w:bottom w:val="none" w:sz="0" w:space="0" w:color="auto"/>
                        <w:right w:val="none" w:sz="0" w:space="0" w:color="auto"/>
                      </w:divBdr>
                      <w:divsChild>
                        <w:div w:id="6418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7134601">
      <w:bodyDiv w:val="1"/>
      <w:marLeft w:val="0"/>
      <w:marRight w:val="0"/>
      <w:marTop w:val="0"/>
      <w:marBottom w:val="0"/>
      <w:divBdr>
        <w:top w:val="none" w:sz="0" w:space="0" w:color="auto"/>
        <w:left w:val="none" w:sz="0" w:space="0" w:color="auto"/>
        <w:bottom w:val="none" w:sz="0" w:space="0" w:color="auto"/>
        <w:right w:val="none" w:sz="0" w:space="0" w:color="auto"/>
      </w:divBdr>
    </w:div>
    <w:div w:id="581719778">
      <w:bodyDiv w:val="1"/>
      <w:marLeft w:val="0"/>
      <w:marRight w:val="0"/>
      <w:marTop w:val="0"/>
      <w:marBottom w:val="0"/>
      <w:divBdr>
        <w:top w:val="none" w:sz="0" w:space="0" w:color="auto"/>
        <w:left w:val="none" w:sz="0" w:space="0" w:color="auto"/>
        <w:bottom w:val="none" w:sz="0" w:space="0" w:color="auto"/>
        <w:right w:val="none" w:sz="0" w:space="0" w:color="auto"/>
      </w:divBdr>
    </w:div>
    <w:div w:id="593783506">
      <w:bodyDiv w:val="1"/>
      <w:marLeft w:val="0"/>
      <w:marRight w:val="0"/>
      <w:marTop w:val="0"/>
      <w:marBottom w:val="0"/>
      <w:divBdr>
        <w:top w:val="none" w:sz="0" w:space="0" w:color="auto"/>
        <w:left w:val="none" w:sz="0" w:space="0" w:color="auto"/>
        <w:bottom w:val="none" w:sz="0" w:space="0" w:color="auto"/>
        <w:right w:val="none" w:sz="0" w:space="0" w:color="auto"/>
      </w:divBdr>
      <w:divsChild>
        <w:div w:id="110906234">
          <w:marLeft w:val="0"/>
          <w:marRight w:val="0"/>
          <w:marTop w:val="0"/>
          <w:marBottom w:val="0"/>
          <w:divBdr>
            <w:top w:val="none" w:sz="0" w:space="0" w:color="auto"/>
            <w:left w:val="none" w:sz="0" w:space="0" w:color="auto"/>
            <w:bottom w:val="none" w:sz="0" w:space="0" w:color="auto"/>
            <w:right w:val="none" w:sz="0" w:space="0" w:color="auto"/>
          </w:divBdr>
          <w:divsChild>
            <w:div w:id="1186485384">
              <w:marLeft w:val="0"/>
              <w:marRight w:val="0"/>
              <w:marTop w:val="0"/>
              <w:marBottom w:val="0"/>
              <w:divBdr>
                <w:top w:val="none" w:sz="0" w:space="0" w:color="auto"/>
                <w:left w:val="none" w:sz="0" w:space="0" w:color="auto"/>
                <w:bottom w:val="none" w:sz="0" w:space="0" w:color="auto"/>
                <w:right w:val="none" w:sz="0" w:space="0" w:color="auto"/>
              </w:divBdr>
              <w:divsChild>
                <w:div w:id="549270230">
                  <w:marLeft w:val="0"/>
                  <w:marRight w:val="0"/>
                  <w:marTop w:val="0"/>
                  <w:marBottom w:val="0"/>
                  <w:divBdr>
                    <w:top w:val="none" w:sz="0" w:space="0" w:color="auto"/>
                    <w:left w:val="none" w:sz="0" w:space="0" w:color="auto"/>
                    <w:bottom w:val="none" w:sz="0" w:space="0" w:color="auto"/>
                    <w:right w:val="none" w:sz="0" w:space="0" w:color="auto"/>
                  </w:divBdr>
                  <w:divsChild>
                    <w:div w:id="1396508276">
                      <w:marLeft w:val="0"/>
                      <w:marRight w:val="0"/>
                      <w:marTop w:val="0"/>
                      <w:marBottom w:val="0"/>
                      <w:divBdr>
                        <w:top w:val="none" w:sz="0" w:space="0" w:color="auto"/>
                        <w:left w:val="none" w:sz="0" w:space="0" w:color="auto"/>
                        <w:bottom w:val="none" w:sz="0" w:space="0" w:color="auto"/>
                        <w:right w:val="none" w:sz="0" w:space="0" w:color="auto"/>
                      </w:divBdr>
                      <w:divsChild>
                        <w:div w:id="109201095">
                          <w:marLeft w:val="0"/>
                          <w:marRight w:val="0"/>
                          <w:marTop w:val="0"/>
                          <w:marBottom w:val="0"/>
                          <w:divBdr>
                            <w:top w:val="none" w:sz="0" w:space="0" w:color="auto"/>
                            <w:left w:val="none" w:sz="0" w:space="0" w:color="auto"/>
                            <w:bottom w:val="none" w:sz="0" w:space="0" w:color="auto"/>
                            <w:right w:val="none" w:sz="0" w:space="0" w:color="auto"/>
                          </w:divBdr>
                          <w:divsChild>
                            <w:div w:id="597297286">
                              <w:marLeft w:val="0"/>
                              <w:marRight w:val="0"/>
                              <w:marTop w:val="0"/>
                              <w:marBottom w:val="0"/>
                              <w:divBdr>
                                <w:top w:val="none" w:sz="0" w:space="0" w:color="auto"/>
                                <w:left w:val="none" w:sz="0" w:space="0" w:color="auto"/>
                                <w:bottom w:val="none" w:sz="0" w:space="0" w:color="auto"/>
                                <w:right w:val="none" w:sz="0" w:space="0" w:color="auto"/>
                              </w:divBdr>
                              <w:divsChild>
                                <w:div w:id="4241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132736">
      <w:bodyDiv w:val="1"/>
      <w:marLeft w:val="0"/>
      <w:marRight w:val="0"/>
      <w:marTop w:val="0"/>
      <w:marBottom w:val="0"/>
      <w:divBdr>
        <w:top w:val="none" w:sz="0" w:space="0" w:color="auto"/>
        <w:left w:val="none" w:sz="0" w:space="0" w:color="auto"/>
        <w:bottom w:val="none" w:sz="0" w:space="0" w:color="auto"/>
        <w:right w:val="none" w:sz="0" w:space="0" w:color="auto"/>
      </w:divBdr>
    </w:div>
    <w:div w:id="801533344">
      <w:bodyDiv w:val="1"/>
      <w:marLeft w:val="0"/>
      <w:marRight w:val="0"/>
      <w:marTop w:val="0"/>
      <w:marBottom w:val="0"/>
      <w:divBdr>
        <w:top w:val="none" w:sz="0" w:space="0" w:color="auto"/>
        <w:left w:val="none" w:sz="0" w:space="0" w:color="auto"/>
        <w:bottom w:val="none" w:sz="0" w:space="0" w:color="auto"/>
        <w:right w:val="none" w:sz="0" w:space="0" w:color="auto"/>
      </w:divBdr>
    </w:div>
    <w:div w:id="836119181">
      <w:bodyDiv w:val="1"/>
      <w:marLeft w:val="0"/>
      <w:marRight w:val="0"/>
      <w:marTop w:val="0"/>
      <w:marBottom w:val="0"/>
      <w:divBdr>
        <w:top w:val="none" w:sz="0" w:space="0" w:color="auto"/>
        <w:left w:val="none" w:sz="0" w:space="0" w:color="auto"/>
        <w:bottom w:val="none" w:sz="0" w:space="0" w:color="auto"/>
        <w:right w:val="none" w:sz="0" w:space="0" w:color="auto"/>
      </w:divBdr>
    </w:div>
    <w:div w:id="1006206359">
      <w:bodyDiv w:val="1"/>
      <w:marLeft w:val="0"/>
      <w:marRight w:val="0"/>
      <w:marTop w:val="0"/>
      <w:marBottom w:val="0"/>
      <w:divBdr>
        <w:top w:val="none" w:sz="0" w:space="0" w:color="auto"/>
        <w:left w:val="none" w:sz="0" w:space="0" w:color="auto"/>
        <w:bottom w:val="none" w:sz="0" w:space="0" w:color="auto"/>
        <w:right w:val="none" w:sz="0" w:space="0" w:color="auto"/>
      </w:divBdr>
    </w:div>
    <w:div w:id="1059742696">
      <w:bodyDiv w:val="1"/>
      <w:marLeft w:val="0"/>
      <w:marRight w:val="0"/>
      <w:marTop w:val="0"/>
      <w:marBottom w:val="0"/>
      <w:divBdr>
        <w:top w:val="none" w:sz="0" w:space="0" w:color="auto"/>
        <w:left w:val="none" w:sz="0" w:space="0" w:color="auto"/>
        <w:bottom w:val="none" w:sz="0" w:space="0" w:color="auto"/>
        <w:right w:val="none" w:sz="0" w:space="0" w:color="auto"/>
      </w:divBdr>
    </w:div>
    <w:div w:id="1139688038">
      <w:bodyDiv w:val="1"/>
      <w:marLeft w:val="0"/>
      <w:marRight w:val="0"/>
      <w:marTop w:val="0"/>
      <w:marBottom w:val="0"/>
      <w:divBdr>
        <w:top w:val="none" w:sz="0" w:space="0" w:color="auto"/>
        <w:left w:val="none" w:sz="0" w:space="0" w:color="auto"/>
        <w:bottom w:val="none" w:sz="0" w:space="0" w:color="auto"/>
        <w:right w:val="none" w:sz="0" w:space="0" w:color="auto"/>
      </w:divBdr>
    </w:div>
    <w:div w:id="1148324210">
      <w:bodyDiv w:val="1"/>
      <w:marLeft w:val="0"/>
      <w:marRight w:val="0"/>
      <w:marTop w:val="0"/>
      <w:marBottom w:val="0"/>
      <w:divBdr>
        <w:top w:val="none" w:sz="0" w:space="0" w:color="auto"/>
        <w:left w:val="none" w:sz="0" w:space="0" w:color="auto"/>
        <w:bottom w:val="none" w:sz="0" w:space="0" w:color="auto"/>
        <w:right w:val="none" w:sz="0" w:space="0" w:color="auto"/>
      </w:divBdr>
    </w:div>
    <w:div w:id="1196387628">
      <w:bodyDiv w:val="1"/>
      <w:marLeft w:val="0"/>
      <w:marRight w:val="0"/>
      <w:marTop w:val="0"/>
      <w:marBottom w:val="0"/>
      <w:divBdr>
        <w:top w:val="none" w:sz="0" w:space="0" w:color="auto"/>
        <w:left w:val="none" w:sz="0" w:space="0" w:color="auto"/>
        <w:bottom w:val="none" w:sz="0" w:space="0" w:color="auto"/>
        <w:right w:val="none" w:sz="0" w:space="0" w:color="auto"/>
      </w:divBdr>
    </w:div>
    <w:div w:id="1220169595">
      <w:bodyDiv w:val="1"/>
      <w:marLeft w:val="0"/>
      <w:marRight w:val="0"/>
      <w:marTop w:val="0"/>
      <w:marBottom w:val="0"/>
      <w:divBdr>
        <w:top w:val="none" w:sz="0" w:space="0" w:color="auto"/>
        <w:left w:val="none" w:sz="0" w:space="0" w:color="auto"/>
        <w:bottom w:val="none" w:sz="0" w:space="0" w:color="auto"/>
        <w:right w:val="none" w:sz="0" w:space="0" w:color="auto"/>
      </w:divBdr>
    </w:div>
    <w:div w:id="1254239303">
      <w:bodyDiv w:val="1"/>
      <w:marLeft w:val="0"/>
      <w:marRight w:val="0"/>
      <w:marTop w:val="0"/>
      <w:marBottom w:val="0"/>
      <w:divBdr>
        <w:top w:val="none" w:sz="0" w:space="0" w:color="auto"/>
        <w:left w:val="none" w:sz="0" w:space="0" w:color="auto"/>
        <w:bottom w:val="none" w:sz="0" w:space="0" w:color="auto"/>
        <w:right w:val="none" w:sz="0" w:space="0" w:color="auto"/>
      </w:divBdr>
    </w:div>
    <w:div w:id="1262300466">
      <w:bodyDiv w:val="1"/>
      <w:marLeft w:val="0"/>
      <w:marRight w:val="0"/>
      <w:marTop w:val="0"/>
      <w:marBottom w:val="0"/>
      <w:divBdr>
        <w:top w:val="none" w:sz="0" w:space="0" w:color="auto"/>
        <w:left w:val="none" w:sz="0" w:space="0" w:color="auto"/>
        <w:bottom w:val="none" w:sz="0" w:space="0" w:color="auto"/>
        <w:right w:val="none" w:sz="0" w:space="0" w:color="auto"/>
      </w:divBdr>
      <w:divsChild>
        <w:div w:id="1244684163">
          <w:marLeft w:val="0"/>
          <w:marRight w:val="0"/>
          <w:marTop w:val="0"/>
          <w:marBottom w:val="0"/>
          <w:divBdr>
            <w:top w:val="none" w:sz="0" w:space="0" w:color="auto"/>
            <w:left w:val="none" w:sz="0" w:space="0" w:color="auto"/>
            <w:bottom w:val="none" w:sz="0" w:space="0" w:color="auto"/>
            <w:right w:val="none" w:sz="0" w:space="0" w:color="auto"/>
          </w:divBdr>
          <w:divsChild>
            <w:div w:id="1561940829">
              <w:marLeft w:val="0"/>
              <w:marRight w:val="0"/>
              <w:marTop w:val="0"/>
              <w:marBottom w:val="0"/>
              <w:divBdr>
                <w:top w:val="none" w:sz="0" w:space="0" w:color="auto"/>
                <w:left w:val="none" w:sz="0" w:space="0" w:color="auto"/>
                <w:bottom w:val="none" w:sz="0" w:space="0" w:color="auto"/>
                <w:right w:val="none" w:sz="0" w:space="0" w:color="auto"/>
              </w:divBdr>
              <w:divsChild>
                <w:div w:id="1848981527">
                  <w:marLeft w:val="0"/>
                  <w:marRight w:val="0"/>
                  <w:marTop w:val="0"/>
                  <w:marBottom w:val="0"/>
                  <w:divBdr>
                    <w:top w:val="none" w:sz="0" w:space="0" w:color="auto"/>
                    <w:left w:val="none" w:sz="0" w:space="0" w:color="auto"/>
                    <w:bottom w:val="none" w:sz="0" w:space="0" w:color="auto"/>
                    <w:right w:val="none" w:sz="0" w:space="0" w:color="auto"/>
                  </w:divBdr>
                  <w:divsChild>
                    <w:div w:id="270213018">
                      <w:marLeft w:val="0"/>
                      <w:marRight w:val="0"/>
                      <w:marTop w:val="0"/>
                      <w:marBottom w:val="0"/>
                      <w:divBdr>
                        <w:top w:val="none" w:sz="0" w:space="0" w:color="auto"/>
                        <w:left w:val="none" w:sz="0" w:space="0" w:color="auto"/>
                        <w:bottom w:val="none" w:sz="0" w:space="0" w:color="auto"/>
                        <w:right w:val="none" w:sz="0" w:space="0" w:color="auto"/>
                      </w:divBdr>
                      <w:divsChild>
                        <w:div w:id="1730884518">
                          <w:marLeft w:val="0"/>
                          <w:marRight w:val="0"/>
                          <w:marTop w:val="0"/>
                          <w:marBottom w:val="0"/>
                          <w:divBdr>
                            <w:top w:val="none" w:sz="0" w:space="0" w:color="auto"/>
                            <w:left w:val="none" w:sz="0" w:space="0" w:color="auto"/>
                            <w:bottom w:val="none" w:sz="0" w:space="0" w:color="auto"/>
                            <w:right w:val="none" w:sz="0" w:space="0" w:color="auto"/>
                          </w:divBdr>
                          <w:divsChild>
                            <w:div w:id="1140415350">
                              <w:marLeft w:val="0"/>
                              <w:marRight w:val="0"/>
                              <w:marTop w:val="0"/>
                              <w:marBottom w:val="0"/>
                              <w:divBdr>
                                <w:top w:val="none" w:sz="0" w:space="0" w:color="auto"/>
                                <w:left w:val="none" w:sz="0" w:space="0" w:color="auto"/>
                                <w:bottom w:val="none" w:sz="0" w:space="0" w:color="auto"/>
                                <w:right w:val="none" w:sz="0" w:space="0" w:color="auto"/>
                              </w:divBdr>
                              <w:divsChild>
                                <w:div w:id="80485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832065">
      <w:bodyDiv w:val="1"/>
      <w:marLeft w:val="0"/>
      <w:marRight w:val="0"/>
      <w:marTop w:val="0"/>
      <w:marBottom w:val="0"/>
      <w:divBdr>
        <w:top w:val="none" w:sz="0" w:space="0" w:color="auto"/>
        <w:left w:val="none" w:sz="0" w:space="0" w:color="auto"/>
        <w:bottom w:val="none" w:sz="0" w:space="0" w:color="auto"/>
        <w:right w:val="none" w:sz="0" w:space="0" w:color="auto"/>
      </w:divBdr>
    </w:div>
    <w:div w:id="1385986907">
      <w:bodyDiv w:val="1"/>
      <w:marLeft w:val="0"/>
      <w:marRight w:val="0"/>
      <w:marTop w:val="0"/>
      <w:marBottom w:val="0"/>
      <w:divBdr>
        <w:top w:val="none" w:sz="0" w:space="0" w:color="auto"/>
        <w:left w:val="none" w:sz="0" w:space="0" w:color="auto"/>
        <w:bottom w:val="none" w:sz="0" w:space="0" w:color="auto"/>
        <w:right w:val="none" w:sz="0" w:space="0" w:color="auto"/>
      </w:divBdr>
    </w:div>
    <w:div w:id="1444226354">
      <w:bodyDiv w:val="1"/>
      <w:marLeft w:val="0"/>
      <w:marRight w:val="0"/>
      <w:marTop w:val="0"/>
      <w:marBottom w:val="0"/>
      <w:divBdr>
        <w:top w:val="none" w:sz="0" w:space="0" w:color="auto"/>
        <w:left w:val="none" w:sz="0" w:space="0" w:color="auto"/>
        <w:bottom w:val="none" w:sz="0" w:space="0" w:color="auto"/>
        <w:right w:val="none" w:sz="0" w:space="0" w:color="auto"/>
      </w:divBdr>
    </w:div>
    <w:div w:id="1477795435">
      <w:bodyDiv w:val="1"/>
      <w:marLeft w:val="0"/>
      <w:marRight w:val="0"/>
      <w:marTop w:val="0"/>
      <w:marBottom w:val="0"/>
      <w:divBdr>
        <w:top w:val="none" w:sz="0" w:space="0" w:color="auto"/>
        <w:left w:val="none" w:sz="0" w:space="0" w:color="auto"/>
        <w:bottom w:val="none" w:sz="0" w:space="0" w:color="auto"/>
        <w:right w:val="none" w:sz="0" w:space="0" w:color="auto"/>
      </w:divBdr>
    </w:div>
    <w:div w:id="1511290875">
      <w:bodyDiv w:val="1"/>
      <w:marLeft w:val="0"/>
      <w:marRight w:val="0"/>
      <w:marTop w:val="0"/>
      <w:marBottom w:val="0"/>
      <w:divBdr>
        <w:top w:val="none" w:sz="0" w:space="0" w:color="auto"/>
        <w:left w:val="none" w:sz="0" w:space="0" w:color="auto"/>
        <w:bottom w:val="none" w:sz="0" w:space="0" w:color="auto"/>
        <w:right w:val="none" w:sz="0" w:space="0" w:color="auto"/>
      </w:divBdr>
    </w:div>
    <w:div w:id="1524517732">
      <w:bodyDiv w:val="1"/>
      <w:marLeft w:val="0"/>
      <w:marRight w:val="0"/>
      <w:marTop w:val="0"/>
      <w:marBottom w:val="0"/>
      <w:divBdr>
        <w:top w:val="none" w:sz="0" w:space="0" w:color="auto"/>
        <w:left w:val="none" w:sz="0" w:space="0" w:color="auto"/>
        <w:bottom w:val="none" w:sz="0" w:space="0" w:color="auto"/>
        <w:right w:val="none" w:sz="0" w:space="0" w:color="auto"/>
      </w:divBdr>
    </w:div>
    <w:div w:id="1654212444">
      <w:bodyDiv w:val="1"/>
      <w:marLeft w:val="0"/>
      <w:marRight w:val="0"/>
      <w:marTop w:val="0"/>
      <w:marBottom w:val="0"/>
      <w:divBdr>
        <w:top w:val="none" w:sz="0" w:space="0" w:color="auto"/>
        <w:left w:val="none" w:sz="0" w:space="0" w:color="auto"/>
        <w:bottom w:val="none" w:sz="0" w:space="0" w:color="auto"/>
        <w:right w:val="none" w:sz="0" w:space="0" w:color="auto"/>
      </w:divBdr>
    </w:div>
    <w:div w:id="1751922784">
      <w:bodyDiv w:val="1"/>
      <w:marLeft w:val="0"/>
      <w:marRight w:val="0"/>
      <w:marTop w:val="0"/>
      <w:marBottom w:val="0"/>
      <w:divBdr>
        <w:top w:val="none" w:sz="0" w:space="0" w:color="auto"/>
        <w:left w:val="none" w:sz="0" w:space="0" w:color="auto"/>
        <w:bottom w:val="none" w:sz="0" w:space="0" w:color="auto"/>
        <w:right w:val="none" w:sz="0" w:space="0" w:color="auto"/>
      </w:divBdr>
    </w:div>
    <w:div w:id="1784306962">
      <w:bodyDiv w:val="1"/>
      <w:marLeft w:val="0"/>
      <w:marRight w:val="0"/>
      <w:marTop w:val="0"/>
      <w:marBottom w:val="0"/>
      <w:divBdr>
        <w:top w:val="none" w:sz="0" w:space="0" w:color="auto"/>
        <w:left w:val="none" w:sz="0" w:space="0" w:color="auto"/>
        <w:bottom w:val="none" w:sz="0" w:space="0" w:color="auto"/>
        <w:right w:val="none" w:sz="0" w:space="0" w:color="auto"/>
      </w:divBdr>
    </w:div>
    <w:div w:id="1926567691">
      <w:bodyDiv w:val="1"/>
      <w:marLeft w:val="0"/>
      <w:marRight w:val="0"/>
      <w:marTop w:val="0"/>
      <w:marBottom w:val="0"/>
      <w:divBdr>
        <w:top w:val="none" w:sz="0" w:space="0" w:color="auto"/>
        <w:left w:val="none" w:sz="0" w:space="0" w:color="auto"/>
        <w:bottom w:val="none" w:sz="0" w:space="0" w:color="auto"/>
        <w:right w:val="none" w:sz="0" w:space="0" w:color="auto"/>
      </w:divBdr>
    </w:div>
    <w:div w:id="1951622233">
      <w:bodyDiv w:val="1"/>
      <w:marLeft w:val="0"/>
      <w:marRight w:val="0"/>
      <w:marTop w:val="0"/>
      <w:marBottom w:val="0"/>
      <w:divBdr>
        <w:top w:val="none" w:sz="0" w:space="0" w:color="auto"/>
        <w:left w:val="none" w:sz="0" w:space="0" w:color="auto"/>
        <w:bottom w:val="none" w:sz="0" w:space="0" w:color="auto"/>
        <w:right w:val="none" w:sz="0" w:space="0" w:color="auto"/>
      </w:divBdr>
    </w:div>
    <w:div w:id="2008820467">
      <w:bodyDiv w:val="1"/>
      <w:marLeft w:val="0"/>
      <w:marRight w:val="0"/>
      <w:marTop w:val="0"/>
      <w:marBottom w:val="0"/>
      <w:divBdr>
        <w:top w:val="none" w:sz="0" w:space="0" w:color="auto"/>
        <w:left w:val="none" w:sz="0" w:space="0" w:color="auto"/>
        <w:bottom w:val="none" w:sz="0" w:space="0" w:color="auto"/>
        <w:right w:val="none" w:sz="0" w:space="0" w:color="auto"/>
      </w:divBdr>
    </w:div>
    <w:div w:id="2013756177">
      <w:bodyDiv w:val="1"/>
      <w:marLeft w:val="0"/>
      <w:marRight w:val="0"/>
      <w:marTop w:val="0"/>
      <w:marBottom w:val="0"/>
      <w:divBdr>
        <w:top w:val="none" w:sz="0" w:space="0" w:color="auto"/>
        <w:left w:val="none" w:sz="0" w:space="0" w:color="auto"/>
        <w:bottom w:val="none" w:sz="0" w:space="0" w:color="auto"/>
        <w:right w:val="none" w:sz="0" w:space="0" w:color="auto"/>
      </w:divBdr>
    </w:div>
    <w:div w:id="2062628969">
      <w:bodyDiv w:val="1"/>
      <w:marLeft w:val="0"/>
      <w:marRight w:val="0"/>
      <w:marTop w:val="0"/>
      <w:marBottom w:val="0"/>
      <w:divBdr>
        <w:top w:val="none" w:sz="0" w:space="0" w:color="auto"/>
        <w:left w:val="none" w:sz="0" w:space="0" w:color="auto"/>
        <w:bottom w:val="none" w:sz="0" w:space="0" w:color="auto"/>
        <w:right w:val="none" w:sz="0" w:space="0" w:color="auto"/>
      </w:divBdr>
    </w:div>
    <w:div w:id="2087992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cb5ecd4-f4dc-466b-a240-0aef20095d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900D6EA90D59540A8021D825FF8C1B4" ma:contentTypeVersion="5" ma:contentTypeDescription="Create a new document." ma:contentTypeScope="" ma:versionID="ed9e79b2900b33c005a030126d2cb130">
  <xsd:schema xmlns:xsd="http://www.w3.org/2001/XMLSchema" xmlns:xs="http://www.w3.org/2001/XMLSchema" xmlns:p="http://schemas.microsoft.com/office/2006/metadata/properties" xmlns:ns3="0cb5ecd4-f4dc-466b-a240-0aef20095dd9" targetNamespace="http://schemas.microsoft.com/office/2006/metadata/properties" ma:root="true" ma:fieldsID="10eb69b7e569c8989d745a63fafb07af" ns3:_="">
    <xsd:import namespace="0cb5ecd4-f4dc-466b-a240-0aef20095dd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b5ecd4-f4dc-466b-a240-0aef20095dd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1D2EC0-0BD3-4803-A9E9-F8BB9912AEA3}">
  <ds:schemaRefs>
    <ds:schemaRef ds:uri="http://schemas.microsoft.com/office/infopath/2007/PartnerControls"/>
    <ds:schemaRef ds:uri="http://purl.org/dc/terms/"/>
    <ds:schemaRef ds:uri="http://schemas.microsoft.com/office/2006/documentManagement/types"/>
    <ds:schemaRef ds:uri="0cb5ecd4-f4dc-466b-a240-0aef20095dd9"/>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B36C062A-12A6-4D41-9915-ADE2EAD21CEF}">
  <ds:schemaRefs>
    <ds:schemaRef ds:uri="http://schemas.microsoft.com/sharepoint/v3/contenttype/forms"/>
  </ds:schemaRefs>
</ds:datastoreItem>
</file>

<file path=customXml/itemProps4.xml><?xml version="1.0" encoding="utf-8"?>
<ds:datastoreItem xmlns:ds="http://schemas.openxmlformats.org/officeDocument/2006/customXml" ds:itemID="{744FDFEF-2407-4A3E-B2A2-ECD07ABCC1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b5ecd4-f4dc-466b-a240-0aef20095d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2567</Words>
  <Characters>14638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Khoi Van</cp:lastModifiedBy>
  <cp:revision>2</cp:revision>
  <dcterms:created xsi:type="dcterms:W3CDTF">2026-03-31T01:13:00Z</dcterms:created>
  <dcterms:modified xsi:type="dcterms:W3CDTF">2026-03-31T01:13:00Z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55a03735-3bd4-4ad4-8113-1de1d5281a86</vt:lpwstr>
  </property>
  <property fmtid="{D5CDD505-2E9C-101B-9397-08002B2CF9AE}" pid="3" name="ContentTypeId">
    <vt:lpwstr>0x0101005900D6EA90D59540A8021D825FF8C1B4</vt:lpwstr>
  </property>
</Properties>
</file>