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644"/>
        <w:bidiVisual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30"/>
        <w:gridCol w:w="4683"/>
        <w:gridCol w:w="6087"/>
      </w:tblGrid>
      <w:tr w:rsidR="007F6C8F" w:rsidTr="007F6C8F">
        <w:trPr>
          <w:trHeight w:val="20"/>
        </w:trPr>
        <w:tc>
          <w:tcPr>
            <w:tcW w:w="5313" w:type="dxa"/>
            <w:gridSpan w:val="2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عنوان گزارش</w:t>
            </w:r>
          </w:p>
        </w:tc>
        <w:tc>
          <w:tcPr>
            <w:tcW w:w="6087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وصول مطالبات طرح فرامیران</w:t>
            </w:r>
          </w:p>
        </w:tc>
      </w:tr>
      <w:tr w:rsidR="007F6C8F" w:rsidTr="007F6C8F">
        <w:trPr>
          <w:trHeight w:val="20"/>
        </w:trPr>
        <w:tc>
          <w:tcPr>
            <w:tcW w:w="5313" w:type="dxa"/>
            <w:gridSpan w:val="2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تاریخ تنظیم گزارش</w:t>
            </w:r>
          </w:p>
        </w:tc>
        <w:tc>
          <w:tcPr>
            <w:tcW w:w="6087" w:type="dxa"/>
            <w:vAlign w:val="center"/>
          </w:tcPr>
          <w:p w:rsidR="007F6C8F" w:rsidRPr="00FF5BBB" w:rsidRDefault="007F6C8F" w:rsidP="007F6C8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date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«date»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F6C8F" w:rsidTr="007F6C8F">
        <w:trPr>
          <w:trHeight w:val="20"/>
        </w:trPr>
        <w:tc>
          <w:tcPr>
            <w:tcW w:w="5313" w:type="dxa"/>
            <w:gridSpan w:val="2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نام تامین مالی</w:t>
            </w:r>
          </w:p>
        </w:tc>
        <w:tc>
          <w:tcPr>
            <w:tcW w:w="6087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نام تامین کننده</w:t>
            </w:r>
          </w:p>
        </w:tc>
      </w:tr>
      <w:tr w:rsidR="007F6C8F" w:rsidTr="007F6C8F">
        <w:trPr>
          <w:trHeight w:val="428"/>
        </w:trPr>
        <w:tc>
          <w:tcPr>
            <w:tcW w:w="5313" w:type="dxa"/>
            <w:gridSpan w:val="2"/>
            <w:vAlign w:val="center"/>
          </w:tcPr>
          <w:p w:rsidR="007F6C8F" w:rsidRPr="00FF5BBB" w:rsidRDefault="007F6C8F" w:rsidP="007F6C8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coffer_name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«coffer_name»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  <w:tc>
          <w:tcPr>
            <w:tcW w:w="6087" w:type="dxa"/>
            <w:vAlign w:val="center"/>
          </w:tcPr>
          <w:p w:rsidR="007F6C8F" w:rsidRPr="00FF5BBB" w:rsidRDefault="007F6C8F" w:rsidP="007F6C8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supplier_name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«supplier_name»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F6C8F" w:rsidTr="007F6C8F">
        <w:trPr>
          <w:trHeight w:val="20"/>
        </w:trPr>
        <w:tc>
          <w:tcPr>
            <w:tcW w:w="630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ردیف</w:t>
            </w:r>
          </w:p>
        </w:tc>
        <w:tc>
          <w:tcPr>
            <w:tcW w:w="4683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عنوان</w:t>
            </w:r>
          </w:p>
        </w:tc>
        <w:tc>
          <w:tcPr>
            <w:tcW w:w="6087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مقدار</w:t>
            </w:r>
          </w:p>
        </w:tc>
      </w:tr>
      <w:tr w:rsidR="007F6C8F" w:rsidTr="007F6C8F">
        <w:trPr>
          <w:trHeight w:val="20"/>
        </w:trPr>
        <w:tc>
          <w:tcPr>
            <w:tcW w:w="630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</w:t>
            </w:r>
          </w:p>
        </w:tc>
        <w:tc>
          <w:tcPr>
            <w:tcW w:w="4683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تعداد قراردادهای فعال</w:t>
            </w:r>
          </w:p>
        </w:tc>
        <w:tc>
          <w:tcPr>
            <w:tcW w:w="6087" w:type="dxa"/>
            <w:vAlign w:val="center"/>
          </w:tcPr>
          <w:p w:rsidR="007F6C8F" w:rsidRPr="00FF5BBB" w:rsidRDefault="007F6C8F" w:rsidP="007F6C8F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active_count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«active_count»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F6C8F" w:rsidTr="007F6C8F">
        <w:trPr>
          <w:trHeight w:val="20"/>
        </w:trPr>
        <w:tc>
          <w:tcPr>
            <w:tcW w:w="630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2</w:t>
            </w:r>
          </w:p>
        </w:tc>
        <w:tc>
          <w:tcPr>
            <w:tcW w:w="4683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ارزش ریالی قراردادهای فعال</w:t>
            </w:r>
          </w:p>
        </w:tc>
        <w:tc>
          <w:tcPr>
            <w:tcW w:w="6087" w:type="dxa"/>
            <w:vAlign w:val="center"/>
          </w:tcPr>
          <w:p w:rsidR="007F6C8F" w:rsidRPr="00FF5BBB" w:rsidRDefault="007F6C8F" w:rsidP="007F6C8F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active_net_amount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«active_net_amount»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F6C8F" w:rsidTr="007F6C8F">
        <w:trPr>
          <w:trHeight w:val="20"/>
        </w:trPr>
        <w:tc>
          <w:tcPr>
            <w:tcW w:w="630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3</w:t>
            </w:r>
          </w:p>
        </w:tc>
        <w:tc>
          <w:tcPr>
            <w:tcW w:w="4683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ارزش ریالی اقساط مورد انتظار دریافتی</w:t>
            </w:r>
          </w:p>
        </w:tc>
        <w:tc>
          <w:tcPr>
            <w:tcW w:w="6087" w:type="dxa"/>
            <w:vAlign w:val="center"/>
          </w:tcPr>
          <w:p w:rsidR="007F6C8F" w:rsidRPr="00FF5BBB" w:rsidRDefault="007F6C8F" w:rsidP="007F6C8F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due_insts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«due_insts»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F6C8F" w:rsidTr="007F6C8F">
        <w:trPr>
          <w:trHeight w:val="20"/>
        </w:trPr>
        <w:tc>
          <w:tcPr>
            <w:tcW w:w="630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4</w:t>
            </w:r>
          </w:p>
        </w:tc>
        <w:tc>
          <w:tcPr>
            <w:tcW w:w="4683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ارزش ریالی اقساط دریافتی</w:t>
            </w:r>
          </w:p>
        </w:tc>
        <w:tc>
          <w:tcPr>
            <w:tcW w:w="6087" w:type="dxa"/>
            <w:vAlign w:val="center"/>
          </w:tcPr>
          <w:p w:rsidR="007F6C8F" w:rsidRPr="00FF5BBB" w:rsidRDefault="007F6C8F" w:rsidP="007F6C8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all_pays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«all_pays»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F6C8F" w:rsidTr="007F6C8F">
        <w:trPr>
          <w:trHeight w:val="20"/>
        </w:trPr>
        <w:tc>
          <w:tcPr>
            <w:tcW w:w="630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5</w:t>
            </w:r>
          </w:p>
        </w:tc>
        <w:tc>
          <w:tcPr>
            <w:tcW w:w="4683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طلب فعلی صندوق</w:t>
            </w:r>
          </w:p>
        </w:tc>
        <w:tc>
          <w:tcPr>
            <w:tcW w:w="6087" w:type="dxa"/>
            <w:vAlign w:val="center"/>
          </w:tcPr>
          <w:p w:rsidR="007F6C8F" w:rsidRPr="007F6C8F" w:rsidRDefault="007F6C8F" w:rsidP="007F6C8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coffer_beg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coffer_beg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7F6C8F" w:rsidTr="007F6C8F">
        <w:trPr>
          <w:trHeight w:val="20"/>
        </w:trPr>
        <w:tc>
          <w:tcPr>
            <w:tcW w:w="630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6</w:t>
            </w:r>
          </w:p>
        </w:tc>
        <w:tc>
          <w:tcPr>
            <w:tcW w:w="4683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تعداد پرونده تاخیرات</w:t>
            </w:r>
          </w:p>
        </w:tc>
        <w:tc>
          <w:tcPr>
            <w:tcW w:w="6087" w:type="dxa"/>
            <w:vAlign w:val="center"/>
          </w:tcPr>
          <w:p w:rsidR="007F6C8F" w:rsidRPr="007F6C8F" w:rsidRDefault="007F6C8F" w:rsidP="007F6C8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takhir_count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takhir_count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7F6C8F" w:rsidTr="007F6C8F">
        <w:trPr>
          <w:trHeight w:val="20"/>
        </w:trPr>
        <w:tc>
          <w:tcPr>
            <w:tcW w:w="630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7</w:t>
            </w:r>
          </w:p>
        </w:tc>
        <w:tc>
          <w:tcPr>
            <w:tcW w:w="4683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میزان بدهی تاخیرات</w:t>
            </w:r>
          </w:p>
        </w:tc>
        <w:tc>
          <w:tcPr>
            <w:tcW w:w="6087" w:type="dxa"/>
            <w:vAlign w:val="center"/>
          </w:tcPr>
          <w:p w:rsidR="007F6C8F" w:rsidRPr="007F6C8F" w:rsidRDefault="007F6C8F" w:rsidP="007F6C8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takhir_debt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takhir_debt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7F6C8F" w:rsidTr="007F6C8F">
        <w:trPr>
          <w:trHeight w:val="20"/>
        </w:trPr>
        <w:tc>
          <w:tcPr>
            <w:tcW w:w="630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8</w:t>
            </w:r>
          </w:p>
        </w:tc>
        <w:tc>
          <w:tcPr>
            <w:tcW w:w="4683" w:type="dxa"/>
            <w:vAlign w:val="center"/>
          </w:tcPr>
          <w:p w:rsidR="007F6C8F" w:rsidRPr="007F6C8F" w:rsidRDefault="007F6C8F" w:rsidP="007F6C8F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درصد ریالی تاخیرات به کل دریافتی انتظاری</w:t>
            </w:r>
          </w:p>
        </w:tc>
        <w:tc>
          <w:tcPr>
            <w:tcW w:w="6087" w:type="dxa"/>
            <w:vAlign w:val="center"/>
          </w:tcPr>
          <w:p w:rsidR="007F6C8F" w:rsidRPr="007F6C8F" w:rsidRDefault="007F6C8F" w:rsidP="007F6C8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takhir_rate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takhir_rate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9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تعداد پرونده معوقه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tavigh_count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tavigh_count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10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میزان بدهی معوقات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tavigh_debt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tavigh_debt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11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درصد ریالی معوقه به کل دریافتی انتظاری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tavigh_rate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tavigh_rate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12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تعداد پرونده نکول قطعی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nokol_count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nokol_count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13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میزان بدهی نکول قطعی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nokol_debt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nokol_debt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14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درصد ریالی نکول قطعی به کل دریافتی انتظاری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nokol_rate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nokol_rate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15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مجموع کل اقساط پرونده نکول قطعی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nokol_totalins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nokol_totalins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16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درصد کل اقساط  نکول قطعی ها به کل دریافتی انتظاری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nokol_totalins_rate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nokol_totalins_rate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17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تعداد کل پرونده های وصول مطالباتی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vcc_count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vcc_count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18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میزان بدهی پرونده های وصول مطالباتی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vcc_debt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vcc_debt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19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درصد میزان بدهی پرونده های وصول مطالباتی به کل دریافتی انتظاری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vcc_rate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vcc_rate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20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میزان بدهی ریالی پرونده های وصول مطالباتی(کل اقساط نکولی)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vcc_total_debt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vcc_total_debt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</w:p>
        </w:tc>
      </w:tr>
      <w:tr w:rsidR="00FC1B6C" w:rsidTr="007F6C8F">
        <w:trPr>
          <w:trHeight w:val="20"/>
        </w:trPr>
        <w:tc>
          <w:tcPr>
            <w:tcW w:w="630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 w:hint="cs"/>
                <w:b/>
                <w:sz w:val="24"/>
                <w:szCs w:val="24"/>
                <w:rtl/>
              </w:rPr>
              <w:t>21</w:t>
            </w:r>
          </w:p>
        </w:tc>
        <w:tc>
          <w:tcPr>
            <w:tcW w:w="4683" w:type="dxa"/>
            <w:vAlign w:val="center"/>
          </w:tcPr>
          <w:p w:rsidR="00FC1B6C" w:rsidRPr="007F6C8F" w:rsidRDefault="00FC1B6C" w:rsidP="00FC1B6C">
            <w:pPr>
              <w:spacing w:after="0"/>
              <w:jc w:val="center"/>
              <w:rPr>
                <w:rFonts w:cs="B Nazanin"/>
                <w:b/>
                <w:sz w:val="24"/>
                <w:szCs w:val="24"/>
              </w:rPr>
            </w:pPr>
            <w:r w:rsidRPr="007F6C8F">
              <w:rPr>
                <w:rFonts w:cs="B Nazanin"/>
                <w:b/>
                <w:sz w:val="24"/>
                <w:szCs w:val="24"/>
                <w:rtl/>
              </w:rPr>
              <w:t>درصد میزان بدهی پرونده های وصول مطالباتی(کل اقساط نکولی) به کل دریافتی انتظاری</w:t>
            </w:r>
          </w:p>
        </w:tc>
        <w:tc>
          <w:tcPr>
            <w:tcW w:w="6087" w:type="dxa"/>
            <w:vAlign w:val="center"/>
          </w:tcPr>
          <w:p w:rsidR="00FC1B6C" w:rsidRPr="007F6C8F" w:rsidRDefault="00FC1B6C" w:rsidP="00FC1B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begin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</w:rPr>
              <w:instrText>MERGEFIELD  vcc_total_rate  \* MERGEFORMAT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instrText xml:space="preserve"> </w:instrTex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«</w:t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vcc_total_rate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t>»</w:t>
            </w:r>
            <w:r>
              <w:rPr>
                <w:rFonts w:ascii="Arial" w:eastAsia="Times New Roman" w:hAnsi="Arial" w:cs="B Nazanin"/>
                <w:noProof/>
                <w:color w:val="000000"/>
                <w:rtl/>
              </w:rPr>
              <w:fldChar w:fldCharType="end"/>
            </w:r>
            <w:bookmarkStart w:id="0" w:name="_GoBack"/>
            <w:bookmarkEnd w:id="0"/>
          </w:p>
        </w:tc>
      </w:tr>
    </w:tbl>
    <w:p w:rsidR="009A3767" w:rsidRDefault="009A3767"/>
    <w:p w:rsidR="009A3767" w:rsidRDefault="009A3767"/>
    <w:p w:rsidR="009A3767" w:rsidRDefault="009A3767"/>
    <w:sectPr w:rsidR="009A3767">
      <w:pgSz w:w="11906" w:h="16838"/>
      <w:pgMar w:top="1440" w:right="1440" w:bottom="1440" w:left="144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67"/>
    <w:rsid w:val="00522FAA"/>
    <w:rsid w:val="007F6C8F"/>
    <w:rsid w:val="009A3767"/>
    <w:rsid w:val="00FC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F2822-6728-4FE7-A25C-53DC085D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persian</dc:creator>
  <dc:description/>
  <cp:lastModifiedBy>Microsoft account</cp:lastModifiedBy>
  <cp:revision>2</cp:revision>
  <dcterms:created xsi:type="dcterms:W3CDTF">2021-10-09T07:18:00Z</dcterms:created>
  <dcterms:modified xsi:type="dcterms:W3CDTF">2021-10-09T07:18:00Z</dcterms:modified>
  <dc:language>fa-IR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