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I worked on this project alone, so I owned both roles: data engineering and the ML part.</w:t>
      </w:r>
    </w:p>
    <w:p>
      <w:pPr>
        <w:spacing w:before="120" w:after="120"/>
        <w:jc w:val="left"/>
      </w:pPr>
      <w:r>
        <w:t>The ML part took the most effort because understanding customer-by-product in theory is one thing, but implementing it in code on a deadline is another. I needed to know not only what the method does, but also how it is built in Python (for example, how a customer’s purchases turn into one “taste” vector and then into a score for every product).</w:t>
      </w:r>
    </w:p>
    <w:p>
      <w:pPr>
        <w:spacing w:before="120" w:after="120"/>
        <w:jc w:val="left"/>
      </w:pPr>
      <w:r>
        <w:t>The concept that finally clicked for me was the sparse matrix. Our table was 97.95% empty, and I learned that this detail matters because it determines which method to use (SVD works on it directly, while PCA has to center it first). So if, for example, I get a similar purchase dataset in the future, sparsity will be one of the first things I check before choosing a method.</w:t>
      </w:r>
    </w:p>
    <w:p>
      <w:pPr>
        <w:spacing w:before="120" w:after="120"/>
        <w:jc w:val="left"/>
      </w:pPr>
      <w:r>
        <w:t>The hardest part of the project that wasn't concept-related was the Jupyter environment.  When I changed a cell and forgot to rerun it, or reran cells out of order, variables kept old values, and my results were wrong without any error (at one point my popularity results were quietly computed with the wrong model). Now I use Restart &amp; Run All much more often before I trust a number.</w:t>
      </w:r>
    </w:p>
    <w:p>
      <w:pPr>
        <w:spacing w:before="120" w:after="120"/>
        <w:jc w:val="left"/>
      </w:pPr>
      <w:r>
        <w:t>If I did the project again, I would start earlier and work with a partner. It would be easier if I could share the work and get a second opinion on my choices.  I would also apply the popularity bonus to a separate validation period instead of the test months, so the final 33.1% hit rate would be fully fair. Because of the time constraint, I decided to leave it as is and just disclose it in the memo.</w:t>
      </w:r>
    </w:p>
    <w:p>
      <w:pPr>
        <w:spacing w:before="120" w:after="120"/>
        <w:jc w:val="left"/>
      </w:pPr>
      <w:r>
        <w:t>I am proud of the work I did and how much my understanding of these concepts improved. I was also happy to get back into pandas and coding in general after a long break, because at the start I had to look up even simple syntax, and by the end I was writing and fixing my own functions.</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Project Learnings</dc:title>
  <cp:revision>0</cp:revision>
</cp:coreProperties>
</file>