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BFA5" w14:textId="77777777" w:rsidR="00DB04BE" w:rsidRPr="00DB04BE" w:rsidRDefault="00DB04BE" w:rsidP="00DB04BE">
      <w:pPr>
        <w:rPr>
          <w:lang w:val="en-US"/>
        </w:rPr>
      </w:pPr>
      <w:proofErr w:type="spellStart"/>
      <w:r w:rsidRPr="00DB04BE">
        <w:rPr>
          <w:lang w:val="en-US"/>
        </w:rPr>
        <w:t>RNASeq</w:t>
      </w:r>
      <w:proofErr w:type="spellEnd"/>
      <w:r w:rsidRPr="00DB04BE">
        <w:rPr>
          <w:lang w:val="en-US"/>
        </w:rPr>
        <w:t xml:space="preserve"> Analysis</w:t>
      </w:r>
    </w:p>
    <w:p w14:paraId="6C0FF368" w14:textId="77777777" w:rsidR="00DB04BE" w:rsidRPr="00DB04BE" w:rsidRDefault="00DB04BE" w:rsidP="00DB04BE">
      <w:pPr>
        <w:rPr>
          <w:lang w:val="en-US"/>
        </w:rPr>
      </w:pPr>
      <w:r w:rsidRPr="00DB04BE">
        <w:rPr>
          <w:lang w:val="en-US"/>
        </w:rPr>
        <w:t>Wednesday, April 22, 2026</w:t>
      </w:r>
    </w:p>
    <w:p w14:paraId="3AF9CE26" w14:textId="77777777" w:rsidR="00DB04BE" w:rsidRPr="00DB04BE" w:rsidRDefault="00DB04BE" w:rsidP="00DB04BE">
      <w:pPr>
        <w:rPr>
          <w:lang w:val="en-US"/>
        </w:rPr>
      </w:pPr>
      <w:r w:rsidRPr="00DB04BE">
        <w:rPr>
          <w:lang w:val="en-US"/>
        </w:rPr>
        <w:t>2:34 PM</w:t>
      </w:r>
    </w:p>
    <w:p w14:paraId="1C665AE7" w14:textId="77777777" w:rsidR="00DB04BE" w:rsidRPr="00DB04BE" w:rsidRDefault="00DB04BE" w:rsidP="00DB04BE">
      <w:pPr>
        <w:rPr>
          <w:lang w:val="en-US"/>
        </w:rPr>
      </w:pPr>
      <w:r w:rsidRPr="00DB04BE">
        <w:rPr>
          <w:lang w:val="en-US"/>
        </w:rPr>
        <w:t>Using R</w:t>
      </w:r>
    </w:p>
    <w:p w14:paraId="1DBA1441" w14:textId="77777777" w:rsidR="00DB04BE" w:rsidRPr="00DB04BE" w:rsidRDefault="00DB04BE" w:rsidP="00DB04BE">
      <w:pPr>
        <w:rPr>
          <w:lang w:val="en-US"/>
        </w:rPr>
      </w:pPr>
      <w:r w:rsidRPr="00DB04BE">
        <w:rPr>
          <w:lang w:val="en-US"/>
        </w:rPr>
        <w:t> </w:t>
      </w:r>
    </w:p>
    <w:p w14:paraId="06A7CE45" w14:textId="77777777" w:rsidR="00DB04BE" w:rsidRPr="00DB04BE" w:rsidRDefault="00DB04BE" w:rsidP="00DB04BE">
      <w:proofErr w:type="spellStart"/>
      <w:r w:rsidRPr="00DB04BE">
        <w:t>Upstream</w:t>
      </w:r>
      <w:proofErr w:type="spellEnd"/>
      <w:r w:rsidRPr="00DB04BE">
        <w:t xml:space="preserve"> </w:t>
      </w:r>
      <w:proofErr w:type="spellStart"/>
      <w:r w:rsidRPr="00DB04BE">
        <w:t>Analysis</w:t>
      </w:r>
      <w:proofErr w:type="spellEnd"/>
    </w:p>
    <w:p w14:paraId="6EA0D992" w14:textId="77777777" w:rsidR="00DB04BE" w:rsidRPr="00DB04BE" w:rsidRDefault="00DB04BE" w:rsidP="00DB04BE">
      <w:r w:rsidRPr="00DB04BE">
        <w:t> </w:t>
      </w:r>
    </w:p>
    <w:p w14:paraId="2BC7B232" w14:textId="77777777" w:rsidR="00DB04BE" w:rsidRPr="00DB04BE" w:rsidRDefault="00DB04BE" w:rsidP="00DB04BE">
      <w:pPr>
        <w:numPr>
          <w:ilvl w:val="1"/>
          <w:numId w:val="1"/>
        </w:numPr>
        <w:rPr>
          <w:lang w:val="en-US"/>
        </w:rPr>
      </w:pPr>
      <w:r w:rsidRPr="00DB04BE">
        <w:rPr>
          <w:lang w:val="en-US"/>
        </w:rPr>
        <w:t>For bulk RNA-seq analysis, we usually work on a server using Ubuntu/Linux. First, we organize the directories by creating folders for raw data, processed data, and results. The raw data folder contains the sequencing files in paired-end format (e.g., sample1_R</w:t>
      </w:r>
      <w:proofErr w:type="gramStart"/>
      <w:r w:rsidRPr="00DB04BE">
        <w:rPr>
          <w:lang w:val="en-US"/>
        </w:rPr>
        <w:t>1.fastq</w:t>
      </w:r>
      <w:proofErr w:type="gramEnd"/>
      <w:r w:rsidRPr="00DB04BE">
        <w:rPr>
          <w:lang w:val="en-US"/>
        </w:rPr>
        <w:t xml:space="preserve"> and sample1_R</w:t>
      </w:r>
      <w:proofErr w:type="gramStart"/>
      <w:r w:rsidRPr="00DB04BE">
        <w:rPr>
          <w:lang w:val="en-US"/>
        </w:rPr>
        <w:t>2.fastq</w:t>
      </w:r>
      <w:proofErr w:type="gramEnd"/>
      <w:r w:rsidRPr="00DB04BE">
        <w:rPr>
          <w:lang w:val="en-US"/>
        </w:rPr>
        <w:t>).</w:t>
      </w:r>
    </w:p>
    <w:p w14:paraId="270C0141" w14:textId="77777777" w:rsidR="00DB04BE" w:rsidRPr="00DB04BE" w:rsidRDefault="00DB04BE" w:rsidP="00DB04BE">
      <w:pPr>
        <w:numPr>
          <w:ilvl w:val="1"/>
          <w:numId w:val="1"/>
        </w:numPr>
        <w:rPr>
          <w:lang w:val="en-US"/>
        </w:rPr>
      </w:pPr>
      <w:r w:rsidRPr="00DB04BE">
        <w:rPr>
          <w:lang w:val="en-US"/>
        </w:rPr>
        <w:t>Next, we perform initial quality control using FastQC. To process multiple samples efficiently, we use a for loop that iterates over all paired-end files in the raw data directory.</w:t>
      </w:r>
    </w:p>
    <w:p w14:paraId="1298F355" w14:textId="77777777" w:rsidR="00DB04BE" w:rsidRPr="00DB04BE" w:rsidRDefault="00DB04BE" w:rsidP="00DB04BE">
      <w:pPr>
        <w:numPr>
          <w:ilvl w:val="1"/>
          <w:numId w:val="1"/>
        </w:numPr>
        <w:rPr>
          <w:lang w:val="en-US"/>
        </w:rPr>
      </w:pPr>
      <w:r w:rsidRPr="00DB04BE">
        <w:rPr>
          <w:lang w:val="en-US"/>
        </w:rPr>
        <w:t xml:space="preserve">After that, we use </w:t>
      </w:r>
      <w:proofErr w:type="spellStart"/>
      <w:r w:rsidRPr="00DB04BE">
        <w:rPr>
          <w:lang w:val="en-US"/>
        </w:rPr>
        <w:t>Fastp</w:t>
      </w:r>
      <w:proofErr w:type="spellEnd"/>
      <w:r w:rsidRPr="00DB04BE">
        <w:rPr>
          <w:lang w:val="en-US"/>
        </w:rPr>
        <w:t xml:space="preserve"> to perform quality filtering and trimming, including removing adapters and low-quality bases. This step is also applied to all samples using a loop.</w:t>
      </w:r>
    </w:p>
    <w:p w14:paraId="10BBB9C1" w14:textId="77777777" w:rsidR="00DB04BE" w:rsidRPr="00DB04BE" w:rsidRDefault="00DB04BE" w:rsidP="00DB04BE">
      <w:pPr>
        <w:numPr>
          <w:ilvl w:val="1"/>
          <w:numId w:val="1"/>
        </w:numPr>
        <w:rPr>
          <w:lang w:val="en-US"/>
        </w:rPr>
      </w:pPr>
      <w:r w:rsidRPr="00DB04BE">
        <w:rPr>
          <w:lang w:val="en-US"/>
        </w:rPr>
        <w:t>The cleaned reads are then aligned to the reference genome using the STAR aligner.</w:t>
      </w:r>
    </w:p>
    <w:p w14:paraId="0CD1EB98" w14:textId="77777777" w:rsidR="00DB04BE" w:rsidRPr="00DB04BE" w:rsidRDefault="00DB04BE" w:rsidP="00DB04BE">
      <w:pPr>
        <w:numPr>
          <w:ilvl w:val="1"/>
          <w:numId w:val="1"/>
        </w:numPr>
        <w:rPr>
          <w:lang w:val="en-US"/>
        </w:rPr>
      </w:pPr>
      <w:r w:rsidRPr="00DB04BE">
        <w:rPr>
          <w:lang w:val="en-US"/>
        </w:rPr>
        <w:t>Following alignment, we perform post-alignment quality control using tools such as Picard (for example, to mark duplicates and collect alignment metrics).</w:t>
      </w:r>
    </w:p>
    <w:p w14:paraId="6C47EED2" w14:textId="77777777" w:rsidR="00DB04BE" w:rsidRPr="00DB04BE" w:rsidRDefault="00DB04BE" w:rsidP="00DB04BE">
      <w:pPr>
        <w:numPr>
          <w:ilvl w:val="1"/>
          <w:numId w:val="1"/>
        </w:numPr>
        <w:rPr>
          <w:lang w:val="en-US"/>
        </w:rPr>
      </w:pPr>
      <w:r w:rsidRPr="00DB04BE">
        <w:rPr>
          <w:lang w:val="en-US"/>
        </w:rPr>
        <w:t xml:space="preserve">Finally, we quantify gene expression using </w:t>
      </w:r>
      <w:proofErr w:type="spellStart"/>
      <w:r w:rsidRPr="00DB04BE">
        <w:rPr>
          <w:lang w:val="en-US"/>
        </w:rPr>
        <w:t>featureCounts</w:t>
      </w:r>
      <w:proofErr w:type="spellEnd"/>
      <w:r w:rsidRPr="00DB04BE">
        <w:rPr>
          <w:lang w:val="en-US"/>
        </w:rPr>
        <w:t>, specifying the appropriate GTF annotation file depending on whether the data is from mouse (Mus musculus) or human.</w:t>
      </w:r>
    </w:p>
    <w:p w14:paraId="1EA1EEDE" w14:textId="77777777" w:rsidR="00DB04BE" w:rsidRPr="00DB04BE" w:rsidRDefault="00DB04BE" w:rsidP="00DB04BE">
      <w:pPr>
        <w:rPr>
          <w:lang w:val="en-US"/>
        </w:rPr>
      </w:pPr>
      <w:r w:rsidRPr="00DB04BE">
        <w:rPr>
          <w:lang w:val="en-US"/>
        </w:rPr>
        <w:t> </w:t>
      </w:r>
    </w:p>
    <w:p w14:paraId="455588CC" w14:textId="77777777" w:rsidR="00DB04BE" w:rsidRPr="00DB04BE" w:rsidRDefault="00DB04BE" w:rsidP="00DB04BE">
      <w:pPr>
        <w:rPr>
          <w:lang w:val="en-US"/>
        </w:rPr>
      </w:pPr>
      <w:r w:rsidRPr="00DB04BE">
        <w:rPr>
          <w:lang w:val="en-US"/>
        </w:rPr>
        <w:t> </w:t>
      </w:r>
    </w:p>
    <w:p w14:paraId="7D6DE541" w14:textId="77777777" w:rsidR="00DB04BE" w:rsidRPr="00DB04BE" w:rsidRDefault="00DB04BE" w:rsidP="00DB04BE">
      <w:pPr>
        <w:rPr>
          <w:lang w:val="en-US"/>
        </w:rPr>
      </w:pPr>
      <w:r w:rsidRPr="00DB04BE">
        <w:rPr>
          <w:lang w:val="en-US"/>
        </w:rPr>
        <w:t> </w:t>
      </w:r>
    </w:p>
    <w:p w14:paraId="4960EA7C" w14:textId="11450292" w:rsidR="00DB04BE" w:rsidRPr="00DB04BE" w:rsidRDefault="00DB04BE" w:rsidP="00DB04BE">
      <w:proofErr w:type="spellStart"/>
      <w:r w:rsidRPr="00DB04BE">
        <w:t>Downstream</w:t>
      </w:r>
      <w:proofErr w:type="spellEnd"/>
      <w:r w:rsidRPr="00DB04BE">
        <w:t xml:space="preserve"> </w:t>
      </w:r>
      <w:proofErr w:type="spellStart"/>
      <w:r w:rsidRPr="00DB04BE">
        <w:t>Analysis</w:t>
      </w:r>
      <w:proofErr w:type="spellEnd"/>
      <w:r w:rsidRPr="00DB04BE">
        <w:t xml:space="preserve"> </w:t>
      </w:r>
    </w:p>
    <w:p w14:paraId="26107622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First, we install and load the required R packages, such as </w:t>
      </w:r>
      <w:proofErr w:type="spellStart"/>
      <w:r w:rsidRPr="00DB04BE">
        <w:rPr>
          <w:i/>
          <w:iCs/>
          <w:lang w:val="en-US"/>
        </w:rPr>
        <w:t>edgeR</w:t>
      </w:r>
      <w:proofErr w:type="spellEnd"/>
      <w:r w:rsidRPr="00DB04BE">
        <w:rPr>
          <w:lang w:val="en-US"/>
        </w:rPr>
        <w:t xml:space="preserve">, </w:t>
      </w:r>
      <w:r w:rsidRPr="00DB04BE">
        <w:rPr>
          <w:i/>
          <w:iCs/>
          <w:lang w:val="en-US"/>
        </w:rPr>
        <w:t>DESeq2</w:t>
      </w:r>
      <w:r w:rsidRPr="00DB04BE">
        <w:rPr>
          <w:lang w:val="en-US"/>
        </w:rPr>
        <w:t xml:space="preserve">, and </w:t>
      </w:r>
      <w:r w:rsidRPr="00DB04BE">
        <w:rPr>
          <w:i/>
          <w:iCs/>
          <w:lang w:val="en-US"/>
        </w:rPr>
        <w:t>ggplot2</w:t>
      </w:r>
      <w:r w:rsidRPr="00DB04BE">
        <w:rPr>
          <w:lang w:val="en-US"/>
        </w:rPr>
        <w:t xml:space="preserve">, along with any other necessary libraries. </w:t>
      </w:r>
    </w:p>
    <w:p w14:paraId="6090BD15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lastRenderedPageBreak/>
        <w:t xml:space="preserve">Optionally, we set up enrichment analysis tools such as </w:t>
      </w:r>
      <w:proofErr w:type="spellStart"/>
      <w:r w:rsidRPr="00DB04BE">
        <w:rPr>
          <w:lang w:val="en-US"/>
        </w:rPr>
        <w:t>Enrichr</w:t>
      </w:r>
      <w:proofErr w:type="spellEnd"/>
      <w:r w:rsidRPr="00DB04BE">
        <w:rPr>
          <w:lang w:val="en-US"/>
        </w:rPr>
        <w:t xml:space="preserve"> and load the relevant gene set databases for downstream pathway analysis. </w:t>
      </w:r>
    </w:p>
    <w:p w14:paraId="2BB2BA74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We define the color palette that will be used consistently across all visualizations. </w:t>
      </w:r>
    </w:p>
    <w:p w14:paraId="02A7B63B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We import the count matrix (e.g., </w:t>
      </w:r>
      <w:proofErr w:type="spellStart"/>
      <w:proofErr w:type="gramStart"/>
      <w:r w:rsidRPr="00DB04BE">
        <w:rPr>
          <w:lang w:val="en-US"/>
        </w:rPr>
        <w:t>featureCounts</w:t>
      </w:r>
      <w:proofErr w:type="spellEnd"/>
      <w:proofErr w:type="gramEnd"/>
      <w:r w:rsidRPr="00DB04BE">
        <w:rPr>
          <w:lang w:val="en-US"/>
        </w:rPr>
        <w:t xml:space="preserve"> output) and ensure that the gene identifiers are correctly formatted (e.g., no missing or duplicated gene IDs). We also </w:t>
      </w:r>
      <w:proofErr w:type="gramStart"/>
      <w:r w:rsidRPr="00DB04BE">
        <w:rPr>
          <w:lang w:val="en-US"/>
        </w:rPr>
        <w:t>load</w:t>
      </w:r>
      <w:proofErr w:type="gramEnd"/>
      <w:r w:rsidRPr="00DB04BE">
        <w:rPr>
          <w:lang w:val="en-US"/>
        </w:rPr>
        <w:t xml:space="preserve"> the metadata file prepared in collaboration with the biologist. Then, we match the sample names between the count matrix and metadata, verify consistency, and define experimental groups as factors. </w:t>
      </w:r>
    </w:p>
    <w:p w14:paraId="7706B0D9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We identify and remove potential outlier samples based on quality control metrics or exploratory analyses. </w:t>
      </w:r>
    </w:p>
    <w:p w14:paraId="56BB769C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We create a new working directory (e.g., </w:t>
      </w:r>
      <w:proofErr w:type="spellStart"/>
      <w:r w:rsidRPr="00DB04BE">
        <w:rPr>
          <w:i/>
          <w:iCs/>
          <w:lang w:val="en-US"/>
        </w:rPr>
        <w:t>DGE_wo_pseudogenes</w:t>
      </w:r>
      <w:proofErr w:type="spellEnd"/>
      <w:r w:rsidRPr="00DB04BE">
        <w:rPr>
          <w:lang w:val="en-US"/>
        </w:rPr>
        <w:t xml:space="preserve">) and proceed with normalization (e.g., using DESeq2). After normalization with TME, we perform Principal Component Analysis (PCA) and visualize the sample distribution. </w:t>
      </w:r>
    </w:p>
    <w:p w14:paraId="70C2204D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We </w:t>
      </w:r>
      <w:proofErr w:type="gramStart"/>
      <w:r w:rsidRPr="00DB04BE">
        <w:rPr>
          <w:lang w:val="en-US"/>
        </w:rPr>
        <w:t>compute</w:t>
      </w:r>
      <w:proofErr w:type="gramEnd"/>
      <w:r w:rsidRPr="00DB04BE">
        <w:rPr>
          <w:lang w:val="en-US"/>
        </w:rPr>
        <w:t xml:space="preserve"> the sample-to-sample distance matrix and </w:t>
      </w:r>
      <w:proofErr w:type="gramStart"/>
      <w:r w:rsidRPr="00DB04BE">
        <w:rPr>
          <w:lang w:val="en-US"/>
        </w:rPr>
        <w:t>visualize</w:t>
      </w:r>
      <w:proofErr w:type="gramEnd"/>
      <w:r w:rsidRPr="00DB04BE">
        <w:rPr>
          <w:lang w:val="en-US"/>
        </w:rPr>
        <w:t xml:space="preserve"> it as a heatmap with proper annotations. </w:t>
      </w:r>
    </w:p>
    <w:p w14:paraId="625E1DCF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We define the comparisons of interest (e.g., control vs. metastasis). In differential expression analysis, the comparison is typically structured as </w:t>
      </w:r>
      <w:r w:rsidRPr="00DB04BE">
        <w:rPr>
          <w:b/>
          <w:bCs/>
          <w:lang w:val="en-US"/>
        </w:rPr>
        <w:t>second condition vs. first condition</w:t>
      </w:r>
      <w:r w:rsidRPr="00DB04BE">
        <w:rPr>
          <w:lang w:val="en-US"/>
        </w:rPr>
        <w:t xml:space="preserve">, meaning that upregulated genes are higher in the second condition. </w:t>
      </w:r>
    </w:p>
    <w:p w14:paraId="4FAA8782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 xml:space="preserve">We apply filtering thresholds, commonly setting |log2FoldChange| ≥ 1 and adjusted p-value &lt; 0.05 to identify significant differentially expressed genes. </w:t>
      </w:r>
    </w:p>
    <w:p w14:paraId="5C1D62FD" w14:textId="77777777" w:rsidR="00DB04BE" w:rsidRPr="00DB04BE" w:rsidRDefault="00DB04BE" w:rsidP="00DB04BE">
      <w:pPr>
        <w:numPr>
          <w:ilvl w:val="1"/>
          <w:numId w:val="2"/>
        </w:numPr>
        <w:rPr>
          <w:lang w:val="en-US"/>
        </w:rPr>
      </w:pPr>
      <w:r w:rsidRPr="00DB04BE">
        <w:rPr>
          <w:lang w:val="en-US"/>
        </w:rPr>
        <w:t>We then run a loop over all defined comparisons to generate results and visualizations, including PCA plots, differential gene expression (DGE) results, volcano plots, heatmaps, and pathway enrichment analysis.</w:t>
      </w:r>
    </w:p>
    <w:p w14:paraId="2E1DD8F5" w14:textId="77777777" w:rsidR="002A60A0" w:rsidRPr="00DB04BE" w:rsidRDefault="002A60A0">
      <w:pPr>
        <w:rPr>
          <w:lang w:val="en-US"/>
        </w:rPr>
      </w:pPr>
    </w:p>
    <w:sectPr w:rsidR="002A60A0" w:rsidRPr="00DB04B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83B27"/>
    <w:multiLevelType w:val="multilevel"/>
    <w:tmpl w:val="09B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24B30"/>
    <w:multiLevelType w:val="multilevel"/>
    <w:tmpl w:val="443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93188">
    <w:abstractNumId w:val="1"/>
  </w:num>
  <w:num w:numId="2" w16cid:durableId="15135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BE"/>
    <w:rsid w:val="00110CCB"/>
    <w:rsid w:val="002A60A0"/>
    <w:rsid w:val="00DB04BE"/>
    <w:rsid w:val="00F9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469B"/>
  <w15:chartTrackingRefBased/>
  <w15:docId w15:val="{39F612FC-12FC-4593-A848-7DF0B982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454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Abdelaeef , Kholoud Mamdouh Abdelsalam</dc:creator>
  <cp:keywords/>
  <dc:description/>
  <cp:lastModifiedBy>Abdelaeef , Kholoud Mamdouh Abdelsalam</cp:lastModifiedBy>
  <cp:revision>1</cp:revision>
  <dcterms:created xsi:type="dcterms:W3CDTF">2026-04-29T14:04:00Z</dcterms:created>
  <dcterms:modified xsi:type="dcterms:W3CDTF">2026-04-29T14:06:00Z</dcterms:modified>
</cp:coreProperties>
</file>