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0.png" ContentType="image/png"/>
  <Override PartName="/word/media/rId45.png" ContentType="image/pn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HCR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K.</w:t>
      </w:r>
      <w:r>
        <w:t xml:space="preserve"> </w:t>
      </w:r>
      <w:r>
        <w:t xml:space="preserve">Holsman</w:t>
      </w:r>
    </w:p>
    <w:p>
      <w:pPr>
        <w:pStyle w:val="Date"/>
      </w:pPr>
      <w:r>
        <w:t xml:space="preserve">1/31/2023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readr     2.1.5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tidyr::expand()    masks reshape::expand()</w:t>
      </w:r>
      <w:r>
        <w:br/>
      </w:r>
      <w:r>
        <w:rPr>
          <w:rStyle w:val="VerbatimChar"/>
        </w:rPr>
        <w:t xml:space="preserve">## ✖ tidyr::extract()   masks magrittr::extract()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dplyr::rename()    masks reshape::rename()</w:t>
      </w:r>
      <w:r>
        <w:br/>
      </w:r>
      <w:r>
        <w:rPr>
          <w:rStyle w:val="VerbatimChar"/>
        </w:rPr>
        <w:t xml:space="preserve">## ✖ purrr::set_names() masks magrittr::set_names()</w:t>
      </w:r>
      <w:r>
        <w:br/>
      </w:r>
      <w:r>
        <w:rPr>
          <w:rStyle w:val="VerbatimChar"/>
        </w:rPr>
        <w:t xml:space="preserve">## ✖ lubridate::stamp() masks reshape::stamp()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'jsonlite'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validate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flatten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nlme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is mgcv 1.9-1. For overview type 'help("mgcv-package")'.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'package:httr':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config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Registering fonts with 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AREA as value column.  Use the value argument to cast to override this choice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viridisLite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'viridis'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viridis_pal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During ACLIM phase 2 (2019-2022), modelers evaluated a suite of Harvest Control Scenarios (1-5), in 2025 we added two addition HCRs to the set. Below is a list of those standardized harvest control rules and the equations used to derive the curves.</w:t>
      </w:r>
      <w:r>
        <w:t xml:space="preserve"> </w:t>
      </w:r>
      <w:r>
        <w:t xml:space="preserve">1) ABC+HCR 1: Status quo</w:t>
      </w:r>
      <w:r>
        <w:t xml:space="preserve"> </w:t>
      </w:r>
      <w:r>
        <w:t xml:space="preserve">2) ABC+HCR 2: Lagged recovery to estimate emergency relief financing needs</w:t>
      </w:r>
      <w:r>
        <w:t xml:space="preserve"> </w:t>
      </w:r>
      <w:r>
        <w:t xml:space="preserve">3) ABC+HCR 3: Long-term resilience (stronger reserve) Ftarget</w:t>
      </w:r>
      <w:r>
        <w:t xml:space="preserve"> </w:t>
      </w:r>
      <w:r>
        <w:t xml:space="preserve">4) ABC+HCR 4: CE informed sloping rate, e.g., MHW category alpha</w:t>
      </w:r>
      <w:r>
        <w:t xml:space="preserve"> </w:t>
      </w:r>
      <w:r>
        <w:t xml:space="preserve">5) ABC+HCR 5: climate sensitivity reserve (buffer shocks)</w:t>
      </w:r>
      <w:r>
        <w:t xml:space="preserve"> </w:t>
      </w:r>
      <w:r>
        <w:t xml:space="preserve">6) ABC+HCR 6: MHW slope + climate sensitivity reserve (buffer shocks)</w:t>
      </w:r>
      <w:r>
        <w:t xml:space="preserve"> </w:t>
      </w:r>
      <w:r>
        <w:t xml:space="preserve">7) ABC+HCR 6: Recruit per spawner biomass variability adjusted HCR based on analyses by Spencer et al. in prep</w:t>
      </w:r>
    </w:p>
    <w:bookmarkEnd w:id="20"/>
    <w:bookmarkStart w:id="24" w:name="abchcr-1-status-quo"/>
    <w:p>
      <w:pPr>
        <w:pStyle w:val="Heading1"/>
      </w:pPr>
      <w:r>
        <w:t xml:space="preserve">ABC+HCR 1: Status quo</w:t>
      </w:r>
    </w:p>
    <w:p>
      <w:pPr>
        <w:pStyle w:val="FirstParagraph"/>
      </w:pPr>
      <w:r>
        <w:t xml:space="preserve">This is the basic sloping harvest control rule for groundfish in the EBS. There is a B20% cut-off for SSL (Atka, pollock, P. cod).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  <m:r>
              <m:t>B</m:t>
            </m:r>
            <m:sSub>
              <m:e>
                <m:r>
                  <m:t>C</m:t>
                </m:r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sub>
        </m:sSub>
      </m:oMath>
      <w:r>
        <w:t xml:space="preserve"> </w:t>
      </w:r>
      <w:r>
        <w:t xml:space="preserve">is the HCR adjusted F rate that corresponds to ABC. The Tier three approach is to set the slope of the sloping HCR to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l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r>
          <m:t>0.4</m:t>
        </m:r>
        <m:sSub>
          <m:e>
            <m:r>
              <m:t>B</m:t>
            </m:r>
          </m:e>
          <m:sub>
            <m:r>
              <m:t>100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(i.e., 40% of unfished biomass</w:t>
      </w:r>
      <w:r>
        <w:t xml:space="preserve"> </w:t>
      </w:r>
      <m:oMath>
        <m:sSub>
          <m:e>
            <m:r>
              <m:t>B</m:t>
            </m:r>
          </m:e>
          <m:sub>
            <m:r>
              <m:t>100</m:t>
            </m:r>
            <m:r>
              <m:rPr>
                <m:sty m:val="p"/>
              </m:rPr>
              <m:t>%</m:t>
            </m:r>
          </m:sub>
        </m:sSub>
      </m:oMath>
      <w:r>
        <w:t xml:space="preserve">, as an MSY proxy) for most species except</w:t>
      </w:r>
      <w:r>
        <w:t xml:space="preserve"> </w:t>
      </w:r>
      <m:oMath>
        <m:sSub>
          <m:e>
            <m:r>
              <m:t>B</m:t>
            </m:r>
          </m:e>
          <m:sub>
            <m:r>
              <m:t>l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for pollock and Pacific cod.</w:t>
      </w:r>
    </w:p>
    <w:p>
      <w:pPr>
        <w:pStyle w:val="BodyText"/>
      </w:pPr>
      <w:r>
        <w:t xml:space="preserve">Eq.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A</m:t>
              </m:r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sub>
          </m:sSub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sub>
                </m:sSub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t>a</m:t>
                        </m:r>
                        <m:r>
                          <m:t>r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t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&gt;</m:t>
                </m:r>
                <m:r>
                  <m:t>1</m:t>
                </m:r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t</m:t>
                                </m:r>
                                <m:r>
                                  <m:t>a</m:t>
                                </m:r>
                                <m:r>
                                  <m:t>r</m:t>
                                </m:r>
                                <m:r>
                                  <m:t>g</m:t>
                                </m:r>
                                <m:r>
                                  <m:t>e</m:t>
                                </m:r>
                                <m: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α</m:t>
                        </m:r>
                      </m:e>
                    </m:d>
                  </m:e>
                </m:d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t>a</m:t>
                        </m:r>
                        <m:r>
                          <m:t>r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t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&lt;</m:t>
                </m:r>
                <m:r>
                  <m:t>1</m:t>
                </m:r>
                <m:r>
                  <m:rPr>
                    <m:sty m:val="p"/>
                  </m:rPr>
                  <m:t>≤</m:t>
                </m:r>
                <m:sSub>
                  <m:e>
                    <m:r>
                      <m:t>B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</m:mr>
            <m:mr>
              <m:e>
                <m:r>
                  <m:t>0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t>a</m:t>
                        </m:r>
                        <m:r>
                          <m:t>r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t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&lt;</m:t>
                </m:r>
                <m:sSub>
                  <m:e>
                    <m:r>
                      <m:t>B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</m:mr>
          </m:m>
        </m:oMath>
      </m:oMathPara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CaptionedFigure"/>
      </w:pPr>
      <w:r>
        <w:drawing>
          <wp:inline>
            <wp:extent cx="4267200" cy="2133600"/>
            <wp:effectExtent b="0" l="0" r="0" t="0"/>
            <wp:docPr descr="ABC+HCR 1: Status quo. This is the Tier 3 Harvest Control Rule, including the B_{20\%} cuttoff for certain species" title="" id="22" name="Picture"/>
            <a:graphic>
              <a:graphicData uri="http://schemas.openxmlformats.org/drawingml/2006/picture">
                <pic:pic>
                  <pic:nvPicPr>
                    <pic:cNvPr descr="../../Figs/HCR_figs/HCR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ABC+HCR 1: Status quo. This is the Tier 3 Harvest Control Rule, including the</w:t>
      </w:r>
      <w:r>
        <w:t xml:space="preserve"> </w:t>
      </w:r>
      <m:oMath>
        <m:sSub>
          <m:e>
            <m:r>
              <m:t>B</m:t>
            </m:r>
          </m:e>
          <m:sub>
            <m:r>
              <m:t>20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cuttoff for certain species</w:t>
      </w:r>
    </w:p>
    <w:bookmarkEnd w:id="24"/>
    <w:bookmarkStart w:id="28" w:name="X546ed9a78948970e244eb327170643337ffdfd8"/>
    <w:p>
      <w:pPr>
        <w:pStyle w:val="Heading1"/>
      </w:pPr>
      <w:r>
        <w:t xml:space="preserve">ABC+HCR 2: Lagged recovery to estimate emergency relief financing needs</w:t>
      </w:r>
    </w:p>
    <w:p>
      <w:pPr>
        <w:pStyle w:val="FirstParagraph"/>
      </w:pPr>
      <w:r>
        <w:t xml:space="preserve">This simulation set will help us estimate the approximate cost of emergency relief funds by artificially closing the fishery at</w:t>
      </w:r>
      <w:r>
        <w:t xml:space="preserve"> </w:t>
      </w:r>
      <m:oMath>
        <m:sSub>
          <m:e>
            <m:r>
              <m:t>B</m:t>
            </m:r>
          </m:e>
          <m:sub>
            <m:r>
              <m:t>25</m:t>
            </m:r>
            <m:r>
              <m:rPr>
                <m:sty m:val="p"/>
              </m:rPr>
              <m:t>%</m:t>
            </m:r>
          </m:sub>
        </m:sSub>
      </m:oMath>
      <w:r>
        <w:t xml:space="preserve">% (mimicking an enconomic driven closure). During recovery to mimick lagged fishery recovery from a closure shock, we further delay F rate by inducing a stronger alpha during the recovery period. Implementation of this would be to shorten the recovery period following a shock through a</w:t>
      </w:r>
      <w:r>
        <w:t xml:space="preserve"> </w:t>
      </w:r>
      <w:r>
        <w:t xml:space="preserve">“</w:t>
      </w:r>
      <w:r>
        <w:t xml:space="preserve">rainy day</w:t>
      </w:r>
      <w:r>
        <w:t xml:space="preserve">”</w:t>
      </w:r>
      <w:r>
        <w:t xml:space="preserve"> </w:t>
      </w:r>
      <w:r>
        <w:t xml:space="preserve">fund to supplement the fishery during climate shocks.</w:t>
      </w:r>
    </w:p>
    <w:p>
      <w:pPr>
        <w:pStyle w:val="BodyText"/>
      </w:pPr>
      <w:r>
        <w:t xml:space="preserve">This is the same as in HCR 1 except that the fishery shuts down earlier at $B_{lim} = B_{25%} $ and during the simulated lagged recovery the alpha is steeper (slower recovery;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0.30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</w:p>
    <w:p>
      <w:pPr>
        <w:pStyle w:val="BodyText"/>
      </w:pPr>
      <w:r>
        <w:t xml:space="preserve">Details: Sloping HCR,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l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25</m:t>
            </m:r>
            <m:r>
              <m:rPr>
                <m:sty m:val="p"/>
              </m:rPr>
              <m:t>%</m:t>
            </m:r>
          </m:sub>
        </m:sSub>
      </m:oMath>
      <w:r>
        <w:t xml:space="preserve">, i.e., the cutoff to initiate emergency $ and a steeper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0.30</m:t>
        </m:r>
      </m:oMath>
      <w:r>
        <w:t xml:space="preserve"> </w:t>
      </w:r>
      <w:r>
        <w:t xml:space="preserve">during recovery (recovery occurs at</w:t>
      </w:r>
      <w:r>
        <w:t xml:space="preserve"> </w:t>
      </w:r>
      <m:oMath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). Calculate difference in catch relative to HCR1 to get an estimate of what $ relief would be needed to supplement the fishery. Apply a steeper slope (alpha) on recovery.</w:t>
      </w:r>
    </w:p>
    <w:p>
      <w:pPr>
        <w:pStyle w:val="CaptionedFigure"/>
      </w:pPr>
      <w:r>
        <w:drawing>
          <wp:inline>
            <wp:extent cx="4267200" cy="2133600"/>
            <wp:effectExtent b="0" l="0" r="0" t="0"/>
            <wp:docPr descr="ABC+HCR 2: Lagged recovery to estimate emergency relief financing needs" title="" id="26" name="Picture"/>
            <a:graphic>
              <a:graphicData uri="http://schemas.openxmlformats.org/drawingml/2006/picture">
                <pic:pic>
                  <pic:nvPicPr>
                    <pic:cNvPr descr="../../Figs/HCR_figs/HCR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ABC+HCR 2: Lagged recovery to estimate emergency relief financing needs</w:t>
      </w:r>
    </w:p>
    <w:bookmarkEnd w:id="28"/>
    <w:bookmarkStart w:id="32" w:name="X19f07df1d54fa82ba5b947996731c9dba9b4eda"/>
    <w:p>
      <w:pPr>
        <w:pStyle w:val="Heading1"/>
      </w:pPr>
      <w:r>
        <w:t xml:space="preserve">ABC+HCR 3: Long-term resilience (stronger reserve) Ftarget</w:t>
      </w:r>
    </w:p>
    <w:p>
      <w:pPr>
        <w:pStyle w:val="FirstParagraph"/>
      </w:pPr>
      <w:r>
        <w:t xml:space="preserve">This is the same as in HCR 1 except that the fishery shuts down earlier at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50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and during the simulated lagged recovey the alpha is steeper (slower recovery;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0.30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BodyText"/>
      </w:pPr>
      <w:r>
        <w:t xml:space="preserve">Details: Set the target to 50% of</w:t>
      </w:r>
      <w:r>
        <w:t xml:space="preserve"> </w:t>
      </w:r>
      <m:oMath>
        <m:sSub>
          <m:e>
            <m:r>
              <m:t>B</m:t>
            </m:r>
          </m:e>
          <m:sub>
            <m:r>
              <m:t>100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instead of 40% B40 (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l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20</m:t>
            </m:r>
            <m:r>
              <m:rPr>
                <m:sty m:val="p"/>
              </m:rPr>
              <m:t>%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50</m:t>
            </m:r>
            <m:r>
              <m:rPr>
                <m:sty m:val="p"/>
              </m:rPr>
              <m:t>%</m:t>
            </m:r>
          </m:sub>
        </m:sSub>
      </m:oMath>
      <w:r>
        <w:t xml:space="preserve">). We’re testing whether this would result in more stable biomass levels and catches.</w:t>
      </w:r>
    </w:p>
    <w:p>
      <w:pPr>
        <w:pStyle w:val="CaptionedFigure"/>
      </w:pPr>
      <w:r>
        <w:drawing>
          <wp:inline>
            <wp:extent cx="4267200" cy="2133600"/>
            <wp:effectExtent b="0" l="0" r="0" t="0"/>
            <wp:docPr descr="ABC+HCR 3: Long-term resilience (stronger reserve) Ftarget" title="" id="30" name="Picture"/>
            <a:graphic>
              <a:graphicData uri="http://schemas.openxmlformats.org/drawingml/2006/picture">
                <pic:pic>
                  <pic:nvPicPr>
                    <pic:cNvPr descr="../../Figs/HCR_figs/HCR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ABC+HCR 3: Long-term resilience (stronger reserve) Ftarget</w:t>
      </w:r>
    </w:p>
    <w:bookmarkEnd w:id="32"/>
    <w:bookmarkStart w:id="36" w:name="X3a97767f859db8956b79a0b193e4857d5e97108"/>
    <w:p>
      <w:pPr>
        <w:pStyle w:val="Heading1"/>
      </w:pPr>
      <w:r>
        <w:t xml:space="preserve">ABC+HCR 4: CE informed sloping rate, e.g., MHW category alpha</w:t>
      </w:r>
    </w:p>
    <w:p>
      <w:pPr>
        <w:pStyle w:val="FirstParagraph"/>
      </w:pPr>
      <w:r>
        <w:t xml:space="preserve">This is the same as in HCR 1 except that the proposed approach would scale back harvest rates faster below B_target for species that are climate sensitive, or during MHWs.</w:t>
      </w:r>
      <w:r>
        <w:t xml:space="preserve"> </w:t>
      </w:r>
      <w:r>
        <w:t xml:space="preserve">Set the target to 40% of B_{100%} (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l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20</m:t>
            </m:r>
            <m:r>
              <m:rPr>
                <m:sty m:val="p"/>
              </m:rPr>
              <m:t>%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) for normal conditions/climate resilient species. But for other species, Below</w:t>
      </w:r>
      <w:r>
        <w:t xml:space="preserve"> </w:t>
      </w:r>
      <m:oMath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have steeper alphas based on MHW category forecasts for summer conditions ( or alternatively, climate vulnerability ratings). This reduces future harvest intensity when conditions are forecast to be poor and could help rebound stocks faster following MHW. MHWs are characterized as Category 1-4 based on the degree of anomalous conditions above mean climatology (Category 1 = +1 standard deviations above the mean climatology, Category 4 = +4 SD).</w:t>
      </w:r>
    </w:p>
    <w:p>
      <w:pPr>
        <w:pStyle w:val="BodyText"/>
      </w:pPr>
      <w:r>
        <w:t xml:space="preserve">Details: Set the target to 40% of</w:t>
      </w:r>
      <w:r>
        <w:t xml:space="preserve"> </w:t>
      </w:r>
      <m:oMath>
        <m:sSub>
          <m:e>
            <m:r>
              <m:t>B</m:t>
            </m:r>
          </m:e>
          <m:sub>
            <m:r>
              <m:t>100</m:t>
            </m:r>
            <m:r>
              <m:rPr>
                <m:sty m:val="p"/>
              </m:rPr>
              <m:t>%</m:t>
            </m:r>
          </m:sub>
        </m:sSub>
      </m:oMath>
      <w:r>
        <w:t xml:space="preserve">, (</w:t>
      </w:r>
      <m:oMath>
        <m:r>
          <m:t>α</m:t>
        </m:r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W</m:t>
            </m:r>
          </m:e>
          <m:sub>
            <m:r>
              <m:t>c</m:t>
            </m:r>
            <m:r>
              <m:t>a</m:t>
            </m:r>
            <m:r>
              <m:t>t</m:t>
            </m:r>
            <m:r>
              <m:t>e</m:t>
            </m:r>
            <m:r>
              <m:t>g</m:t>
            </m:r>
            <m:r>
              <m:t>o</m:t>
            </m:r>
            <m:r>
              <m:t>r</m:t>
            </m:r>
            <m:r>
              <m:t>y</m:t>
            </m:r>
          </m:sub>
        </m:sSub>
        <m:r>
          <m:rPr>
            <m:sty m:val="p"/>
          </m:rPr>
          <m:t>*</m:t>
        </m:r>
        <m:r>
          <m:t>.09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l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20</m:t>
            </m:r>
            <m:r>
              <m:rPr>
                <m:sty m:val="p"/>
              </m:rPr>
              <m:t>%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). E.g., shown, Category 2 MHW set the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0.23</m:t>
        </m:r>
      </m:oMath>
      <w:r>
        <w:t xml:space="preserve">, for large MHW set the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0.41</m:t>
        </m:r>
      </m:oMath>
      <w:r>
        <w:t xml:space="preserve">. We’re testing whether this would result in more stable biomass levels and catches.</w:t>
      </w:r>
    </w:p>
    <w:p>
      <w:pPr>
        <w:pStyle w:val="CaptionedFigure"/>
      </w:pPr>
      <w:r>
        <w:drawing>
          <wp:inline>
            <wp:extent cx="4267200" cy="2133600"/>
            <wp:effectExtent b="0" l="0" r="0" t="0"/>
            <wp:docPr descr="ABC+HCR 4: CE informed sloping rate, e.g., MHW category alpha" title="" id="34" name="Picture"/>
            <a:graphic>
              <a:graphicData uri="http://schemas.openxmlformats.org/drawingml/2006/picture">
                <pic:pic>
                  <pic:nvPicPr>
                    <pic:cNvPr descr="../../Figs/HCR_figs/HCR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ABC+HCR 4: CE informed sloping rate, e.g., MHW category alpha</w:t>
      </w:r>
    </w:p>
    <w:bookmarkEnd w:id="36"/>
    <w:bookmarkStart w:id="43" w:name="X7df117cae89b9522c0888c05872789845526b8b"/>
    <w:p>
      <w:pPr>
        <w:pStyle w:val="Heading1"/>
      </w:pPr>
      <w:r>
        <w:t xml:space="preserve">ABC+HCR 5: climate sensitivity reserve (buffer shocks)</w:t>
      </w:r>
    </w:p>
    <w:p>
      <w:pPr>
        <w:pStyle w:val="CaptionedFigure"/>
      </w:pPr>
      <w:r>
        <w:drawing>
          <wp:inline>
            <wp:extent cx="4533900" cy="2550318"/>
            <wp:effectExtent b="0" l="0" r="0" t="0"/>
            <wp:docPr descr="Holsman et al. 2020 Figure" title="" id="38" name="Picture"/>
            <a:graphic>
              <a:graphicData uri="http://schemas.openxmlformats.org/drawingml/2006/picture">
                <pic:pic>
                  <pic:nvPicPr>
                    <pic:cNvPr descr="../../Figs/Holsmanetal2020_effectiveF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Holsman et al. 2020 Figure</w:t>
      </w:r>
    </w:p>
    <w:p>
      <w:pPr>
        <w:pStyle w:val="BodyText"/>
      </w:pPr>
      <w:r>
        <w:t xml:space="preserve">The general idea here is to combine the HCR 4 MHW category 0-4 scaling factor when below B_target (B40) and a cap-like effect when over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</m:oMath>
      <w:r>
        <w:t xml:space="preserve"> </w:t>
      </w:r>
      <w:r>
        <w:t xml:space="preserve">The steepness of that cap effect could be varied based on vulnerability (or approximated via MSE), more sensitive species might need more reserve in the</w:t>
      </w:r>
      <w:r>
        <w:t xml:space="preserve"> </w:t>
      </w:r>
      <w:r>
        <w:t xml:space="preserve">“</w:t>
      </w:r>
      <w:r>
        <w:t xml:space="preserve">bank</w:t>
      </w:r>
      <w:r>
        <w:t xml:space="preserve">”</w:t>
      </w:r>
      <w:r>
        <w:t xml:space="preserve">. Pollock are an example of the HCR 5 in practice (via effects of the 2MT cap + sloping HCR).</w:t>
      </w:r>
    </w:p>
    <w:p>
      <w:pPr>
        <w:pStyle w:val="BodyText"/>
      </w:pPr>
      <w:r>
        <w:t xml:space="preserve">Details: Set the target to 40% of</w:t>
      </w:r>
      <w:r>
        <w:t xml:space="preserve"> </w:t>
      </w:r>
      <m:oMath>
        <m:sSub>
          <m:e>
            <m:r>
              <m:t>B</m:t>
            </m:r>
          </m:e>
          <m:sub>
            <m:r>
              <m:t>100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(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l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20</m:t>
            </m:r>
            <m:r>
              <m:rPr>
                <m:sty m:val="p"/>
              </m:rPr>
              <m:t>%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).After</w:t>
      </w:r>
      <w:r>
        <w:t xml:space="preserve"> </w:t>
      </w:r>
      <m:oMath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 </w:t>
      </w:r>
      <w:r>
        <w:t xml:space="preserve">have a slowly sloping F proportional to climate vulnerability (or MHW category) to mimic realized F rates of pollock under the 2 MT cap, i.e., reserve biomass for climate shocks sensu Holsman et al. 2020. This could use MHW decadal predictions to set the right hand side of the curve above</w:t>
      </w:r>
      <w:r>
        <w:t xml:space="preserve"> </w:t>
      </w:r>
      <m:oMath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.In this the climate sensitivitiy buffer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a value 0 to 1 that scales the reserve for biomass above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</m:oMath>
      <w:r>
        <w:t xml:space="preserve">, i.e.,</w:t>
      </w:r>
      <w:r>
        <w:t xml:space="preserve"> </w:t>
      </w:r>
      <m:oMath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Eq.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A</m:t>
              </m:r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sub>
          </m:sSub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sub>
                </m:sSub>
                <m:r>
                  <m:t> </m:t>
                </m:r>
                <m:sSup>
                  <m:e>
                    <m:r>
                      <m:t>e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γ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B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t</m:t>
                                    </m:r>
                                    <m:r>
                                      <m:t>a</m:t>
                                    </m:r>
                                    <m:r>
                                      <m:t>r</m:t>
                                    </m:r>
                                    <m:r>
                                      <m:t>g</m:t>
                                    </m:r>
                                    <m:r>
                                      <m:t>e</m:t>
                                    </m:r>
                                    <m: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</m:d>
                  </m:sup>
                </m:sSup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t>a</m:t>
                        </m:r>
                        <m:r>
                          <m:t>r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t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&gt;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 </m:t>
                </m:r>
                <m:r>
                  <m:t> 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d</m:t>
                </m:r>
                <m:r>
                  <m:t> </m:t>
                </m:r>
                <m:r>
                  <m:t> </m:t>
                </m:r>
                <m:r>
                  <m:t>γ</m:t>
                </m:r>
                <m:r>
                  <m:rPr>
                    <m:sty m:val="p"/>
                  </m:rPr>
                  <m:t>&lt;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t>a</m:t>
                        </m:r>
                        <m:r>
                          <m:t>r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t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t</m:t>
                                </m:r>
                                <m:r>
                                  <m:t>a</m:t>
                                </m:r>
                                <m:r>
                                  <m:t>r</m:t>
                                </m:r>
                                <m:r>
                                  <m:t>g</m:t>
                                </m:r>
                                <m:r>
                                  <m:t>e</m:t>
                                </m:r>
                                <m: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α</m:t>
                        </m:r>
                      </m:e>
                    </m:d>
                  </m:e>
                </m:d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t>a</m:t>
                        </m:r>
                        <m:r>
                          <m:t>r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t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&lt;</m:t>
                </m:r>
                <m:r>
                  <m:t>1</m:t>
                </m:r>
                <m:r>
                  <m:rPr>
                    <m:sty m:val="p"/>
                  </m:rPr>
                  <m:t>≤</m:t>
                </m:r>
                <m:sSub>
                  <m:e>
                    <m:r>
                      <m:t>B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</m:mr>
            <m:mr>
              <m:e>
                <m:r>
                  <m:t>0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 </m:t>
                </m:r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t>a</m:t>
                        </m:r>
                        <m:r>
                          <m:t>r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t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&lt;</m:t>
                </m:r>
                <m:sSub>
                  <m:e>
                    <m:r>
                      <m:t>B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Details: Set the target to 40% of</w:t>
      </w:r>
      <w:r>
        <w:t xml:space="preserve"> </w:t>
      </w:r>
      <m:oMath>
        <m:sSub>
          <m:e>
            <m:r>
              <m:t>B</m:t>
            </m:r>
          </m:e>
          <m:sub>
            <m:r>
              <m:t>100</m:t>
            </m:r>
            <m:r>
              <m:rPr>
                <m:sty m:val="p"/>
              </m:rPr>
              <m:t>%</m:t>
            </m:r>
          </m:sub>
        </m:sSub>
      </m:oMath>
      <w:r>
        <w:t xml:space="preserve">, (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l</m:t>
            </m:r>
            <m:r>
              <m:t>i</m:t>
            </m:r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20</m:t>
            </m:r>
            <m:r>
              <m:rPr>
                <m:sty m:val="p"/>
              </m:rPr>
              <m:t>%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40</m:t>
            </m:r>
            <m:r>
              <m:rPr>
                <m:sty m:val="p"/>
              </m:rPr>
              <m:t>%</m:t>
            </m:r>
          </m:sub>
        </m:sSub>
      </m:oMath>
      <w:r>
        <w:t xml:space="preserve">). Shown, for small MHW set the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</m:oMath>
      <w:r>
        <w:t xml:space="preserve">, for large MHW set the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0.4</m:t>
        </m:r>
      </m:oMath>
      <w:r>
        <w:t xml:space="preserve">. We’re testing whether this would result in more stable biomass levels and catches.</w:t>
      </w:r>
    </w:p>
    <w:p>
      <w:pPr>
        <w:pStyle w:val="CaptionedFigure"/>
      </w:pPr>
      <w:r>
        <w:drawing>
          <wp:inline>
            <wp:extent cx="4267200" cy="2133600"/>
            <wp:effectExtent b="0" l="0" r="0" t="0"/>
            <wp:docPr descr="ABC+HCR 5: climate sensitivity reserve (buffer shocks)" title="" id="41" name="Picture"/>
            <a:graphic>
              <a:graphicData uri="http://schemas.openxmlformats.org/drawingml/2006/picture">
                <pic:pic>
                  <pic:nvPicPr>
                    <pic:cNvPr descr="../../Figs/HCR_figs/HCR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ABC+HCR 5: climate sensitivity reserve (buffer shocks)</w:t>
      </w:r>
    </w:p>
    <w:bookmarkEnd w:id="43"/>
    <w:bookmarkStart w:id="44" w:name="X1fe2ea28c924b227d7b016b18e402d9150a1431"/>
    <w:p>
      <w:pPr>
        <w:pStyle w:val="Heading1"/>
      </w:pPr>
      <w:r>
        <w:t xml:space="preserve">ABC+HCR 6: MHW slope + climate sensitivity reserve (buffer shocks)</w:t>
      </w:r>
    </w:p>
    <w:bookmarkEnd w:id="44"/>
    <w:bookmarkStart w:id="51" w:name="Xe65325add8a96a5c95d065e6ee737d088daaa67"/>
    <w:p>
      <w:pPr>
        <w:pStyle w:val="Heading1"/>
      </w:pPr>
      <w:r>
        <w:t xml:space="preserve">ABC+HCR 7: ABC+HCR 7: Recruit per spawner biomass variability adjusted HCR based on analyses by Spencer et al. in prep</w:t>
      </w:r>
    </w:p>
    <w:p>
      <w:pPr>
        <w:pStyle w:val="CaptionedFigure"/>
      </w:pPr>
      <w:r>
        <w:drawing>
          <wp:inline>
            <wp:extent cx="4267200" cy="2133600"/>
            <wp:effectExtent b="0" l="0" r="0" t="0"/>
            <wp:docPr descr="ABC+HCR 6: CE slope + climate sensitivity reserve (buffer shocks)" title="" id="46" name="Picture"/>
            <a:graphic>
              <a:graphicData uri="http://schemas.openxmlformats.org/drawingml/2006/picture">
                <pic:pic>
                  <pic:nvPicPr>
                    <pic:cNvPr descr="../../Figs/HCR_figs/HCR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ABC+HCR 6: CE slope + climate sensitivity reserve (buffer shocks)</w:t>
      </w:r>
    </w:p>
    <w:p>
      <w:pPr>
        <w:pStyle w:val="CaptionedFigure"/>
      </w:pPr>
      <w:r>
        <w:drawing>
          <wp:inline>
            <wp:extent cx="4267200" cy="3200400"/>
            <wp:effectExtent b="0" l="0" r="0" t="0"/>
            <wp:docPr descr="ABC+HCR 1- 6: Reserve for rainy day (climate-vulnerability informed cap effect)" title="" id="49" name="Picture"/>
            <a:graphic>
              <a:graphicData uri="http://schemas.openxmlformats.org/drawingml/2006/picture">
                <pic:pic>
                  <pic:nvPicPr>
                    <pic:cNvPr descr="../../Figs/HCR_figs/HCR1TO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ABC+HCR 1- 6: Reserve for rainy day (climate-vulnerability informed cap effect)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HCR demo</dc:title>
  <dc:creator>K. Holsman</dc:creator>
  <cp:keywords/>
  <dcterms:created xsi:type="dcterms:W3CDTF">2025-02-13T22:37:14Z</dcterms:created>
  <dcterms:modified xsi:type="dcterms:W3CDTF">2025-02-13T22:37:14Z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1/31/2023</vt:lpwstr>
  </property>
  <property fmtid="{D5CDD505-2E9C-101B-9397-08002B2CF9AE}" pid="4" name="output">
    <vt:lpwstr/>
  </property>
</Properties>
</file>