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48"/>
          <w:szCs w:val="48"/>
        </w:rPr>
        <w:t xml:space="preserve">Michigan Battery Recycling Access Gap</w:t>
      </w:r>
    </w:p>
    <w:p>
      <w:pPr>
        <w:spacing w:after="80"/>
      </w:pPr>
      <w:r>
        <w:rPr>
          <w:rFonts w:ascii="Arial" w:cs="Arial" w:eastAsia="Arial" w:hAnsi="Arial"/>
          <w:color w:val="444444"/>
          <w:sz w:val="28"/>
          <w:szCs w:val="28"/>
        </w:rPr>
        <w:t xml:space="preserve">Findings &amp; Site Placement Recommendations</w:t>
      </w:r>
    </w:p>
    <w:p>
      <w:pPr>
        <w:pBdr>
          <w:bottom w:val="single" w:color="1F4E79" w:sz="8" w:space="2"/>
        </w:pBdr>
        <w:spacing w:after="400"/>
      </w:pPr>
    </w:p>
    <w:p>
      <w:pPr>
        <w:spacing w:after="60"/>
      </w:pPr>
      <w:r>
        <w:rPr>
          <w:rFonts w:ascii="Arial" w:cs="Arial" w:eastAsia="Arial" w:hAnsi="Arial"/>
          <w:b/>
          <w:bCs/>
          <w:sz w:val="22"/>
          <w:szCs w:val="22"/>
        </w:rPr>
        <w:t xml:space="preserve">Prepared for:  </w:t>
      </w:r>
      <w:r>
        <w:rPr>
          <w:rFonts w:ascii="Arial" w:cs="Arial" w:eastAsia="Arial" w:hAnsi="Arial"/>
          <w:sz w:val="22"/>
          <w:szCs w:val="22"/>
        </w:rPr>
        <w:t xml:space="preserve">Edilson Abreu</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2026</w:t>
      </w:r>
    </w:p>
    <w:p>
      <w:pPr>
        <w:spacing w:after="400"/>
      </w:pPr>
      <w:r>
        <w:rPr>
          <w:rFonts w:ascii="Arial" w:cs="Arial" w:eastAsia="Arial" w:hAnsi="Arial"/>
          <w:b/>
          <w:bCs/>
          <w:sz w:val="22"/>
          <w:szCs w:val="22"/>
        </w:rPr>
        <w:t xml:space="preserve">Analyst:  </w:t>
      </w:r>
      <w:r>
        <w:rPr>
          <w:rFonts w:ascii="Arial" w:cs="Arial" w:eastAsia="Arial" w:hAnsi="Arial"/>
          <w:sz w:val="22"/>
          <w:szCs w:val="22"/>
        </w:rPr>
        <w:t xml:space="preserve">Kenneth L Hood II</w:t>
      </w:r>
    </w:p>
    <w:p>
      <w:pPr>
        <w:pStyle w:val="Heading1"/>
        <w:spacing w:after="120" w:before="320"/>
      </w:pPr>
      <w:r>
        <w:rPr>
          <w:rFonts w:ascii="Arial" w:cs="Arial" w:eastAsia="Arial" w:hAnsi="Arial"/>
          <w:b/>
          <w:bCs/>
          <w:color w:val="1F4E79"/>
          <w:sz w:val="32"/>
          <w:szCs w:val="32"/>
        </w:rPr>
        <w:t xml:space="preserve">The Problem Is Already Here</w:t>
      </w:r>
    </w:p>
    <w:p>
      <w:pPr>
        <w:spacing w:after="160"/>
      </w:pPr>
      <w:r>
        <w:rPr>
          <w:rFonts w:ascii="Arial" w:cs="Arial" w:eastAsia="Arial" w:hAnsi="Arial"/>
          <w:sz w:val="22"/>
          <w:szCs w:val="22"/>
        </w:rPr>
        <w:t xml:space="preserve">In May 2025, a lithium battery caused a fire in a Troy trash truck. One month later, the Grand Rapids Fire Department reported battery fires occurring monthly at their recycling and waste facilities. These incidents are consistent with a 2025 national report that documented an all-time high of 448 waste facility fires across the US and Canada (Fogelman, 2026).</w:t>
      </w:r>
    </w:p>
    <w:p>
      <w:pPr>
        <w:spacing w:after="160"/>
      </w:pPr>
      <w:r>
        <w:rPr>
          <w:rFonts w:ascii="Arial" w:cs="Arial" w:eastAsia="Arial" w:hAnsi="Arial"/>
          <w:sz w:val="22"/>
          <w:szCs w:val="22"/>
        </w:rPr>
        <w:t xml:space="preserve">Awareness alone is not the problem. Most Michigan residents know batteries require special handling, but knowledge does not translate to action when there is nowhere to go. 95% of residents report at least one barrier to recycling, and 38 of 83 Michigan counties have zero drop-off infrastructure. Where awareness exists, access does not. Improper disposal in these communities is not a behavior problem. It is a structural one.</w:t>
      </w:r>
    </w:p>
    <w:p>
      <w:pPr>
        <w:pStyle w:val="Heading1"/>
        <w:spacing w:after="120" w:before="320"/>
      </w:pPr>
      <w:r>
        <w:rPr>
          <w:rFonts w:ascii="Arial" w:cs="Arial" w:eastAsia="Arial" w:hAnsi="Arial"/>
          <w:b/>
          <w:bCs/>
          <w:color w:val="1F4E79"/>
          <w:sz w:val="32"/>
          <w:szCs w:val="32"/>
        </w:rPr>
        <w:t xml:space="preserve">Summary of Key Findings</w:t>
      </w:r>
    </w:p>
    <w:p>
      <w:pPr>
        <w:pStyle w:val="ListParagraph"/>
        <w:numPr>
          <w:ilvl w:val="0"/>
          <w:numId w:val="2"/>
        </w:numPr>
        <w:spacing w:after="80"/>
      </w:pPr>
      <w:r>
        <w:rPr>
          <w:rFonts w:ascii="Arial" w:cs="Arial" w:eastAsia="Arial" w:hAnsi="Arial"/>
          <w:sz w:val="22"/>
          <w:szCs w:val="22"/>
        </w:rPr>
        <w:t xml:space="preserve">38 of 83 Michigan counties have zero battery drop-off sites</w:t>
      </w:r>
    </w:p>
    <w:p>
      <w:pPr>
        <w:pStyle w:val="ListParagraph"/>
        <w:numPr>
          <w:ilvl w:val="0"/>
          <w:numId w:val="2"/>
        </w:numPr>
        <w:spacing w:after="80"/>
      </w:pPr>
      <w:r>
        <w:rPr>
          <w:rFonts w:ascii="Arial" w:cs="Arial" w:eastAsia="Arial" w:hAnsi="Arial"/>
          <w:sz w:val="22"/>
          <w:szCs w:val="22"/>
        </w:rPr>
        <w:t xml:space="preserve">The lowest income quartile averages 0.29 sites per county compared to 6.14 in the highest, a 21x gap</w:t>
      </w:r>
    </w:p>
    <w:p>
      <w:pPr>
        <w:pStyle w:val="ListParagraph"/>
        <w:numPr>
          <w:ilvl w:val="0"/>
          <w:numId w:val="2"/>
        </w:numPr>
        <w:spacing w:after="80"/>
      </w:pPr>
      <w:r>
        <w:rPr>
          <w:rFonts w:ascii="Arial" w:cs="Arial" w:eastAsia="Arial" w:hAnsi="Arial"/>
          <w:sz w:val="22"/>
          <w:szCs w:val="22"/>
        </w:rPr>
        <w:t xml:space="preserve">16 of 18 rural counties are battery deserts</w:t>
      </w:r>
    </w:p>
    <w:p>
      <w:pPr>
        <w:pStyle w:val="ListParagraph"/>
        <w:numPr>
          <w:ilvl w:val="0"/>
          <w:numId w:val="2"/>
        </w:numPr>
        <w:spacing w:after="80"/>
      </w:pPr>
      <w:r>
        <w:rPr>
          <w:rFonts w:ascii="Arial" w:cs="Arial" w:eastAsia="Arial" w:hAnsi="Arial"/>
          <w:sz w:val="22"/>
          <w:szCs w:val="22"/>
        </w:rPr>
        <w:t xml:space="preserve">Wayne County's 23 raw sites equal only 1.33 per 100,000 residents, one of the lowest rates in its income quartile</w:t>
      </w:r>
    </w:p>
    <w:p>
      <w:pPr>
        <w:pStyle w:val="ListParagraph"/>
        <w:numPr>
          <w:ilvl w:val="0"/>
          <w:numId w:val="2"/>
        </w:numPr>
        <w:spacing w:after="80"/>
      </w:pPr>
      <w:r>
        <w:rPr>
          <w:rFonts w:ascii="Arial" w:cs="Arial" w:eastAsia="Arial" w:hAnsi="Arial"/>
          <w:sz w:val="22"/>
          <w:szCs w:val="22"/>
        </w:rPr>
        <w:t xml:space="preserve">The most common battery type, alkaline, is rejected by most major retailers</w:t>
      </w:r>
    </w:p>
    <w:p>
      <w:pPr>
        <w:pStyle w:val="ListParagraph"/>
        <w:numPr>
          <w:ilvl w:val="0"/>
          <w:numId w:val="2"/>
        </w:numPr>
        <w:spacing w:after="80"/>
      </w:pPr>
      <w:r>
        <w:rPr>
          <w:rFonts w:ascii="Arial" w:cs="Arial" w:eastAsia="Arial" w:hAnsi="Arial"/>
          <w:sz w:val="22"/>
          <w:szCs w:val="22"/>
        </w:rPr>
        <w:t xml:space="preserve">95% of residents face at least one recycling barrier; 54% say convenient access would change their behavior</w:t>
      </w:r>
    </w:p>
    <w:p>
      <w:pPr>
        <w:pStyle w:val="ListParagraph"/>
        <w:numPr>
          <w:ilvl w:val="0"/>
          <w:numId w:val="2"/>
        </w:numPr>
        <w:spacing w:after="80"/>
      </w:pPr>
      <w:r>
        <w:rPr>
          <w:rFonts w:ascii="Arial" w:cs="Arial" w:eastAsia="Arial" w:hAnsi="Arial"/>
          <w:sz w:val="22"/>
          <w:szCs w:val="22"/>
        </w:rPr>
        <w:t xml:space="preserve">Battery Network collection boxes are provided at no cost to qualifying sites; the barrier is coordination, not equipment</w:t>
      </w:r>
    </w:p>
    <w:p>
      <w:pPr>
        <w:pStyle w:val="ListParagraph"/>
        <w:numPr>
          <w:ilvl w:val="0"/>
          <w:numId w:val="2"/>
        </w:numPr>
        <w:spacing w:after="80"/>
      </w:pPr>
      <w:r>
        <w:rPr>
          <w:rFonts w:ascii="Arial" w:cs="Arial" w:eastAsia="Arial" w:hAnsi="Arial"/>
          <w:sz w:val="22"/>
          <w:szCs w:val="22"/>
        </w:rPr>
        <w:t xml:space="preserve">The cross-subsidy model is self-funding at conservative assumptions and requires no legislation or government support</w:t>
      </w:r>
    </w:p>
    <w:p>
      <w:pPr>
        <w:pStyle w:val="ListParagraph"/>
        <w:numPr>
          <w:ilvl w:val="0"/>
          <w:numId w:val="2"/>
        </w:numPr>
        <w:spacing w:after="80"/>
      </w:pPr>
      <w:r>
        <w:rPr>
          <w:rFonts w:ascii="Arial" w:cs="Arial" w:eastAsia="Arial" w:hAnsi="Arial"/>
          <w:sz w:val="22"/>
          <w:szCs w:val="22"/>
        </w:rPr>
        <w:t xml:space="preserve">Food pantries and libraries in the 38 desert counties are the recommended entry points for immediate site placement</w:t>
      </w:r>
    </w:p>
    <w:p>
      <w:pPr>
        <w:pStyle w:val="Heading1"/>
        <w:spacing w:after="120" w:before="320"/>
      </w:pPr>
      <w:r>
        <w:rPr>
          <w:rFonts w:ascii="Arial" w:cs="Arial" w:eastAsia="Arial" w:hAnsi="Arial"/>
          <w:b/>
          <w:bCs/>
          <w:color w:val="1F4E79"/>
          <w:sz w:val="32"/>
          <w:szCs w:val="32"/>
        </w:rPr>
        <w:t xml:space="preserve">What the Existing Data Gets Wrong</w:t>
      </w:r>
    </w:p>
    <w:p>
      <w:pPr>
        <w:spacing w:after="160"/>
      </w:pPr>
      <w:r>
        <w:rPr>
          <w:rFonts w:ascii="Arial" w:cs="Arial" w:eastAsia="Arial" w:hAnsi="Arial"/>
          <w:sz w:val="22"/>
          <w:szCs w:val="22"/>
        </w:rPr>
        <w:t xml:space="preserve">The 2025 NextCycle Michigan Battery Gap Analysis provides the most comprehensive statewide picture available, but its survey-based methodology has significant limitations worth noting.</w:t>
      </w:r>
    </w:p>
    <w:p>
      <w:pPr>
        <w:spacing w:after="160"/>
      </w:pPr>
      <w:r>
        <w:rPr>
          <w:rFonts w:ascii="Arial" w:cs="Arial" w:eastAsia="Arial" w:hAnsi="Arial"/>
          <w:sz w:val="22"/>
          <w:szCs w:val="22"/>
        </w:rPr>
        <w:t xml:space="preserve">The survey estimated 18 million batteries disposed annually in Michigan. Waste characterization studies from comparable states put the real number between 208 million and 416 million. The report attributes this gap to recall bias, noting that residents do not remember every battery they discarded and that batteries embedded in consumer products often go uncounted entirely.</w:t>
      </w:r>
    </w:p>
    <w:p>
      <w:pPr>
        <w:spacing w:after="160"/>
      </w:pPr>
      <w:r>
        <w:rPr>
          <w:rFonts w:ascii="Arial" w:cs="Arial" w:eastAsia="Arial" w:hAnsi="Arial"/>
          <w:sz w:val="22"/>
          <w:szCs w:val="22"/>
        </w:rPr>
        <w:t xml:space="preserve">The survey sample consisted of 776 respondents, with 35% coming from rural counties. These are the same counties with the highest rates of improper disposal and the least access to recycling alternatives. Self-reported recycling behavior also tends to overstate actual participation, since a resident who reported bringing batteries to a drop-off location may not have reached a correct or operational site. The survey data provides a starting point, not a measurement. The county-level infrastructure analysis presented here tells a more reliable story.</w:t>
      </w:r>
    </w:p>
    <w:p>
      <w:pPr>
        <w:pStyle w:val="Heading1"/>
        <w:spacing w:after="120" w:before="320"/>
      </w:pPr>
      <w:r>
        <w:rPr>
          <w:rFonts w:ascii="Arial" w:cs="Arial" w:eastAsia="Arial" w:hAnsi="Arial"/>
          <w:b/>
          <w:bCs/>
          <w:color w:val="1F4E79"/>
          <w:sz w:val="32"/>
          <w:szCs w:val="32"/>
        </w:rPr>
        <w:t xml:space="preserve">What the Data Actually Shows</w:t>
      </w:r>
    </w:p>
    <w:p>
      <w:pPr>
        <w:spacing w:after="160"/>
      </w:pPr>
      <w:r>
        <w:rPr>
          <w:rFonts w:ascii="Arial" w:cs="Arial" w:eastAsia="Arial" w:hAnsi="Arial"/>
          <w:sz w:val="22"/>
          <w:szCs w:val="22"/>
        </w:rPr>
        <w:t xml:space="preserve">Battery location data was sourced directly from the Battery Network's internal API, producing an original dataset not available in any published report. This data was merged with 2023 ACS Census income data for all 83 Michigan counties to produce a county-level access map.</w:t>
      </w:r>
    </w:p>
    <w:p>
      <w:pPr>
        <w:spacing w:after="160"/>
      </w:pPr>
      <w:r>
        <w:rPr>
          <w:rFonts w:ascii="Arial" w:cs="Arial" w:eastAsia="Arial" w:hAnsi="Arial"/>
          <w:sz w:val="22"/>
          <w:szCs w:val="22"/>
        </w:rPr>
        <w:t xml:space="preserve">Counties in the lowest income quartile average 0.29 drop-off sites per county. Counties in the highest income quartile average 6.14. This represents a 21-to-1 disparity that reflects where infrastructure was built, not where demand exists.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Income Quartile</w:t>
            </w:r>
          </w:p>
        </w:tc>
        <w:tc>
          <w:tcPr>
            <w:tcW w:type="dxa" w:w="23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Avg Sites Per County</w:t>
            </w:r>
          </w:p>
        </w:tc>
        <w:tc>
          <w:tcPr>
            <w:tcW w:type="dxa" w:w="23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Avg Sites Per 100k Residents</w:t>
            </w:r>
          </w:p>
        </w:tc>
        <w:tc>
          <w:tcPr>
            <w:tcW w:type="dxa" w:w="234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sz w:val="20"/>
                <w:szCs w:val="20"/>
              </w:rPr>
              <w:t xml:space="preserve">Desert Counties</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Q1 Lowest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0.86</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of 21</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Q2</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1.09</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of 21</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Q3</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2.16</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of 20</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Q4 Highest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6.14</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of 21</w:t>
            </w:r>
          </w:p>
        </w:tc>
      </w:tr>
    </w:tbl>
    <w:p>
      <w:pPr>
        <w:spacing w:after="160"/>
      </w:pPr>
    </w:p>
    <w:p>
      <w:pPr>
        <w:spacing w:after="160"/>
      </w:pPr>
      <w:r>
        <w:rPr>
          <w:rFonts w:ascii="Arial" w:cs="Arial" w:eastAsia="Arial" w:hAnsi="Arial"/>
          <w:sz w:val="22"/>
          <w:szCs w:val="22"/>
        </w:rPr>
        <w:t xml:space="preserve">38 counties have zero drop-off sites, with 30 of them falling in the bottom two income quartiles. The rural picture is particularly severe. 16 of 18 rural Michigan counties qualify as battery deserts, averaging 0.76 sites per 100,000 residents. That is less than a quarter of the rate found in urban and metro areas.</w:t>
      </w:r>
    </w:p>
    <w:p>
      <w:pPr>
        <w:pStyle w:val="Heading1"/>
        <w:spacing w:after="120" w:before="320"/>
      </w:pPr>
      <w:r>
        <w:rPr>
          <w:rFonts w:ascii="Arial" w:cs="Arial" w:eastAsia="Arial" w:hAnsi="Arial"/>
          <w:b/>
          <w:bCs/>
          <w:color w:val="1F4E79"/>
          <w:sz w:val="32"/>
          <w:szCs w:val="32"/>
        </w:rPr>
        <w:t xml:space="preserve">The Wayne County Case</w:t>
      </w:r>
    </w:p>
    <w:p>
      <w:pPr>
        <w:spacing w:after="160"/>
      </w:pPr>
      <w:r>
        <w:rPr>
          <w:rFonts w:ascii="Arial" w:cs="Arial" w:eastAsia="Arial" w:hAnsi="Arial"/>
          <w:sz w:val="22"/>
          <w:szCs w:val="22"/>
        </w:rPr>
        <w:t xml:space="preserve">Wayne County has 23 drop-off sites, more than any other county in Michigan. On the surface, this appears to indicate strong access in the Detroit area.</w:t>
      </w:r>
    </w:p>
    <w:p>
      <w:pPr>
        <w:spacing w:after="160"/>
      </w:pPr>
      <w:r>
        <w:rPr>
          <w:rFonts w:ascii="Arial" w:cs="Arial" w:eastAsia="Arial" w:hAnsi="Arial"/>
          <w:sz w:val="22"/>
          <w:szCs w:val="22"/>
        </w:rPr>
        <w:t xml:space="preserve">It does not. With 1.7 million residents, Wayne County's 23 sites translate to just 1.33 sites per 100,000 people. That is one of the lowest per capita rates in its income quartile and well below the statewide average.</w:t>
      </w:r>
    </w:p>
    <w:p>
      <w:pPr>
        <w:spacing w:after="160"/>
      </w:pPr>
      <w:r>
        <w:rPr>
          <w:rFonts w:ascii="Arial" w:cs="Arial" w:eastAsia="Arial" w:hAnsi="Arial"/>
          <w:sz w:val="22"/>
          <w:szCs w:val="22"/>
        </w:rPr>
        <w:t xml:space="preserve">The raw site count is a misleading metric when applied without population context. Adjusted for population, Wayne County residents are as underserved as the rural counties identified as priority targets. This finding confirms the thesis rather than complicating it. The current system was built around retail footprints, not community need.</w:t>
      </w:r>
    </w:p>
    <w:p>
      <w:pPr>
        <w:pStyle w:val="Heading1"/>
        <w:spacing w:after="120" w:before="320"/>
      </w:pPr>
      <w:r>
        <w:rPr>
          <w:rFonts w:ascii="Arial" w:cs="Arial" w:eastAsia="Arial" w:hAnsi="Arial"/>
          <w:b/>
          <w:bCs/>
          <w:color w:val="1F4E79"/>
          <w:sz w:val="32"/>
          <w:szCs w:val="32"/>
        </w:rPr>
        <w:t xml:space="preserve">Why the Current System Cannot Fix This</w:t>
      </w:r>
    </w:p>
    <w:p>
      <w:pPr>
        <w:spacing w:after="160"/>
      </w:pPr>
      <w:r>
        <w:rPr>
          <w:rFonts w:ascii="Arial" w:cs="Arial" w:eastAsia="Arial" w:hAnsi="Arial"/>
          <w:sz w:val="22"/>
          <w:szCs w:val="22"/>
        </w:rPr>
        <w:t xml:space="preserve">The existing battery drop-off network is retailer-dependent and voluntary. Participating stores including Home Depot, Lowe's, Staples, and Best Buy are concentrated in high-traffic commercial corridors that serve middle and upper income areas. They are largely absent from the communities with the greatest need.</w:t>
      </w:r>
    </w:p>
    <w:p>
      <w:pPr>
        <w:spacing w:after="160"/>
      </w:pPr>
      <w:r>
        <w:rPr>
          <w:rFonts w:ascii="Arial" w:cs="Arial" w:eastAsia="Arial" w:hAnsi="Arial"/>
          <w:sz w:val="22"/>
          <w:szCs w:val="22"/>
        </w:rPr>
        <w:t xml:space="preserve">The situation is made worse by a fundamental mismatch in battery type acceptance. Alkaline batteries are the most common type disposed of in Michigan, and they are rejected by almost every major retailer. The infrastructure that does exist is largely unable to accept what most residents are trying to recycle.</w:t>
      </w:r>
    </w:p>
    <w:p>
      <w:pPr>
        <w:spacing w:after="160"/>
      </w:pPr>
      <w:r>
        <w:rPr>
          <w:rFonts w:ascii="Arial" w:cs="Arial" w:eastAsia="Arial" w:hAnsi="Arial"/>
          <w:sz w:val="22"/>
          <w:szCs w:val="22"/>
        </w:rPr>
        <w:t xml:space="preserve">The stores found in every Michigan community including Walmart, Target, Meijer, and Menards accept no batteries at all. Battery Plus and Battery Giant, which accept the full range, operate only 8 to 10 locations statewide.</w:t>
      </w:r>
    </w:p>
    <w:p>
      <w:pPr>
        <w:spacing w:after="160"/>
      </w:pPr>
      <w:r>
        <w:rPr>
          <w:rFonts w:ascii="Arial" w:cs="Arial" w:eastAsia="Arial" w:hAnsi="Arial"/>
          <w:sz w:val="22"/>
          <w:szCs w:val="22"/>
        </w:rPr>
        <w:t xml:space="preserve">The NextCycle report confirms that fewer than one-third of Michigan residents have access to a permanent government-operated drop-off site, and that private retail programs are voluntary, inconsistent, and subject to closure without notice (NextCycle, 2025). Program operators have stated directly that expansion is not feasible under current funding structures without dedicated mechanisms such as EPR legislation. While policy discussions continue, the infrastructure gap requires action that does not depend on a legislative timeline.</w:t>
      </w:r>
    </w:p>
    <w:p>
      <w:pPr>
        <w:pStyle w:val="Heading1"/>
        <w:spacing w:after="120" w:before="320"/>
      </w:pPr>
      <w:r>
        <w:rPr>
          <w:rFonts w:ascii="Arial" w:cs="Arial" w:eastAsia="Arial" w:hAnsi="Arial"/>
          <w:b/>
          <w:bCs/>
          <w:color w:val="1F4E79"/>
          <w:sz w:val="32"/>
          <w:szCs w:val="32"/>
        </w:rPr>
        <w:t xml:space="preserve">The Resident Side</w:t>
      </w:r>
    </w:p>
    <w:p>
      <w:pPr>
        <w:spacing w:after="160"/>
      </w:pPr>
      <w:r>
        <w:rPr>
          <w:rFonts w:ascii="Arial" w:cs="Arial" w:eastAsia="Arial" w:hAnsi="Arial"/>
          <w:sz w:val="22"/>
          <w:szCs w:val="22"/>
        </w:rPr>
        <w:t xml:space="preserve">According to the NextCycle survey, 95% of Michigan residents face at least one barrier to battery recycling. The barriers most frequently cited are structural in nature: uncertainty about where to take batteries, confusion over which types qualify for recycling, and a lack of convenient local options (NextCycle, 2025).</w:t>
      </w:r>
    </w:p>
    <w:p>
      <w:pPr>
        <w:spacing w:after="160"/>
      </w:pPr>
      <w:r>
        <w:rPr>
          <w:rFonts w:ascii="Arial" w:cs="Arial" w:eastAsia="Arial" w:hAnsi="Arial"/>
          <w:sz w:val="22"/>
          <w:szCs w:val="22"/>
        </w:rPr>
        <w:t xml:space="preserve">54% of respondents indicated that more convenient access would increase their recycling participation. Residents in battery desert counties are not choosing to dispose of batteries improperly. They have no viable alternative.</w:t>
      </w:r>
    </w:p>
    <w:p>
      <w:pPr>
        <w:pStyle w:val="Heading1"/>
        <w:spacing w:after="120" w:before="320"/>
      </w:pPr>
      <w:r>
        <w:rPr>
          <w:rFonts w:ascii="Arial" w:cs="Arial" w:eastAsia="Arial" w:hAnsi="Arial"/>
          <w:b/>
          <w:bCs/>
          <w:color w:val="1F4E79"/>
          <w:sz w:val="32"/>
          <w:szCs w:val="32"/>
        </w:rPr>
        <w:t xml:space="preserve">Recommendation: Place Collection Sites at Food Pantries and Libraries</w:t>
      </w:r>
    </w:p>
    <w:p>
      <w:pPr>
        <w:spacing w:after="160"/>
      </w:pPr>
      <w:r>
        <w:rPr>
          <w:rFonts w:ascii="Arial" w:cs="Arial" w:eastAsia="Arial" w:hAnsi="Arial"/>
          <w:sz w:val="22"/>
          <w:szCs w:val="22"/>
        </w:rPr>
        <w:t xml:space="preserve">Food pantries and libraries serve as consistent community anchors in counties where retail infrastructure does not exist. They are trusted, accessible, and already visited regularly by the residents who are most underserved by the current system.</w:t>
      </w:r>
    </w:p>
    <w:p>
      <w:pPr>
        <w:spacing w:after="160"/>
      </w:pPr>
      <w:r>
        <w:rPr>
          <w:rFonts w:ascii="Arial" w:cs="Arial" w:eastAsia="Arial" w:hAnsi="Arial"/>
          <w:sz w:val="22"/>
          <w:szCs w:val="22"/>
        </w:rPr>
        <w:t xml:space="preserve">Placing battery collection sites at these locations removes the need for a separate trip and embeds recycling into existing community routines. This approach directly targets the 38 counties with zero current infrastructure, which are concentrated in the lowest two income quartiles and in rural Michigan.</w:t>
      </w:r>
    </w:p>
    <w:p>
      <w:pPr>
        <w:spacing w:after="160"/>
      </w:pPr>
      <w:r>
        <w:rPr>
          <w:rFonts w:ascii="Arial" w:cs="Arial" w:eastAsia="Arial" w:hAnsi="Arial"/>
          <w:sz w:val="22"/>
          <w:szCs w:val="22"/>
        </w:rPr>
        <w:t xml:space="preserve">This model does not require building new infrastructure from scratch. The Battery Network provides collection boxes to qualifying host sites at no cost. Equipment and recycling logistics are funded by battery manufacturer stewards. Food pantries and libraries in desert counties are eligible to join this existing national program immediately. The barrier to placement is coordination and operational support, not equipment (The Battery Network, 2025; DOEE, 2023).</w:t>
      </w:r>
    </w:p>
    <w:p>
      <w:pPr>
        <w:spacing w:after="160"/>
      </w:pPr>
      <w:r>
        <w:rPr>
          <w:rFonts w:ascii="Arial" w:cs="Arial" w:eastAsia="Arial" w:hAnsi="Arial"/>
          <w:sz w:val="22"/>
          <w:szCs w:val="22"/>
        </w:rPr>
        <w:t xml:space="preserve">Priority placement should begin with Q1 counties that are also classified as rural. These represent communities with the lowest median household incomes, no existing drop-off access, and no nearby alternatives.</w:t>
      </w:r>
    </w:p>
    <w:p>
      <w:pPr>
        <w:pStyle w:val="Heading1"/>
        <w:spacing w:after="120" w:before="320"/>
      </w:pPr>
      <w:r>
        <w:rPr>
          <w:rFonts w:ascii="Arial" w:cs="Arial" w:eastAsia="Arial" w:hAnsi="Arial"/>
          <w:b/>
          <w:bCs/>
          <w:color w:val="1F4E79"/>
          <w:sz w:val="32"/>
          <w:szCs w:val="32"/>
        </w:rPr>
        <w:t xml:space="preserve">Funding the Expansion: A Cross-Subsidy Model</w:t>
      </w:r>
    </w:p>
    <w:p>
      <w:pPr>
        <w:spacing w:after="160"/>
      </w:pPr>
      <w:r>
        <w:rPr>
          <w:rFonts w:ascii="Arial" w:cs="Arial" w:eastAsia="Arial" w:hAnsi="Arial"/>
          <w:sz w:val="22"/>
          <w:szCs w:val="22"/>
        </w:rPr>
        <w:t xml:space="preserve">The operational cost of running a collection site covers coordination, signage, community outreach, and staff time. Based on an EPA case study of a comparable county-level program in Colorado and fee data from the NextCycle report, this cost is estimated at $500 to $1,500 per site annually (EPA, 2025; NextCycle, 2025). Collection boxes and recycling logistics are provided by the Battery Network at no cost to the host site.</w:t>
      </w:r>
    </w:p>
    <w:p>
      <w:pPr>
        <w:spacing w:after="160"/>
      </w:pPr>
      <w:r>
        <w:rPr>
          <w:rFonts w:ascii="Arial" w:cs="Arial" w:eastAsia="Arial" w:hAnsi="Arial"/>
          <w:sz w:val="22"/>
          <w:szCs w:val="22"/>
        </w:rPr>
        <w:t xml:space="preserve">A practical funding mechanism draws from the same principle behind LifeStraw's Buy One Give One model. For each collection site operating in a high-income Q4 county, a proportional contribution funds site operations in a desert county. Q4 counties currently support 129 active drop-off locations and have the commercial infrastructure to sustain ongoing collection programs.</w:t>
      </w:r>
    </w:p>
    <w:p>
      <w:pPr>
        <w:spacing w:after="160"/>
      </w:pPr>
      <w:r>
        <w:rPr>
          <w:rFonts w:ascii="Arial" w:cs="Arial" w:eastAsia="Arial" w:hAnsi="Arial"/>
          <w:sz w:val="22"/>
          <w:szCs w:val="22"/>
        </w:rPr>
        <w:t xml:space="preserve">At a modest annual contribution of $500 per Q4 site, the program generates $64,500 per year. At an operational cost of $1,000 per desert county site, this covers all 38 target counties with a surplus of $26,500. The model reaches self-sufficiency at conservative assumptions and requires participation from fewer than 60% of existing Q4 sites to break even in higher-cost scenarios. No legislative action, government funding, or new infrastructure is required.</w:t>
      </w:r>
    </w:p>
    <w:p>
      <w:pPr>
        <w:pStyle w:val="Heading1"/>
        <w:spacing w:after="120" w:before="320"/>
      </w:pPr>
      <w:r>
        <w:rPr>
          <w:rFonts w:ascii="Arial" w:cs="Arial" w:eastAsia="Arial" w:hAnsi="Arial"/>
          <w:b/>
          <w:bCs/>
          <w:color w:val="1F4E79"/>
          <w:sz w:val="32"/>
          <w:szCs w:val="32"/>
        </w:rPr>
        <w:t xml:space="preserve">Data Sources and Methodology</w:t>
      </w:r>
    </w:p>
    <w:p>
      <w:pPr>
        <w:spacing w:after="160"/>
      </w:pPr>
      <w:r>
        <w:rPr>
          <w:rFonts w:ascii="Arial" w:cs="Arial" w:eastAsia="Arial" w:hAnsi="Arial"/>
          <w:b/>
          <w:bCs/>
          <w:sz w:val="22"/>
          <w:szCs w:val="22"/>
        </w:rPr>
        <w:t xml:space="preserve">Battery location data</w:t>
      </w:r>
    </w:p>
    <w:p>
      <w:pPr>
        <w:spacing w:after="160"/>
      </w:pPr>
      <w:r>
        <w:rPr>
          <w:rFonts w:ascii="Arial" w:cs="Arial" w:eastAsia="Arial" w:hAnsi="Arial"/>
          <w:sz w:val="22"/>
          <w:szCs w:val="22"/>
        </w:rPr>
        <w:t xml:space="preserve">Sourced directly from the Battery Network's internal API. The Battery Network website provides a location map but no downloadable dataset. Browser developer tools were used to identify the API endpoints powering the site. A Python script queried those endpoints across 206 Michigan zip codes, collected all unique locations, and removed duplicates. The result is 214 drop-off locations with retailer name, address, accepted materials, and account number. This is original data not available in any published report. Retailer counts were cross-validated against NextCycle statewide totals, confirming approximately 90% coverage.</w:t>
      </w:r>
    </w:p>
    <w:p>
      <w:pPr>
        <w:spacing w:after="160"/>
      </w:pPr>
      <w:r>
        <w:rPr>
          <w:rFonts w:ascii="Arial" w:cs="Arial" w:eastAsia="Arial" w:hAnsi="Arial"/>
          <w:b/>
          <w:bCs/>
          <w:sz w:val="22"/>
          <w:szCs w:val="22"/>
        </w:rPr>
        <w:t xml:space="preserve">Income and population data</w:t>
      </w:r>
    </w:p>
    <w:p>
      <w:pPr>
        <w:spacing w:after="160"/>
      </w:pPr>
      <w:r>
        <w:rPr>
          <w:rFonts w:ascii="Arial" w:cs="Arial" w:eastAsia="Arial" w:hAnsi="Arial"/>
          <w:sz w:val="22"/>
          <w:szCs w:val="22"/>
        </w:rPr>
        <w:t xml:space="preserve">2023 ACS 5-Year Estimates for all 83 Michigan counties, sourced from the US Census Bureau.</w:t>
      </w:r>
    </w:p>
    <w:p>
      <w:pPr>
        <w:spacing w:after="160"/>
      </w:pPr>
      <w:r>
        <w:rPr>
          <w:rFonts w:ascii="Arial" w:cs="Arial" w:eastAsia="Arial" w:hAnsi="Arial"/>
          <w:b/>
          <w:bCs/>
          <w:sz w:val="22"/>
          <w:szCs w:val="22"/>
        </w:rPr>
        <w:t xml:space="preserve">Rural classification</w:t>
      </w:r>
    </w:p>
    <w:p>
      <w:pPr>
        <w:spacing w:after="160"/>
      </w:pPr>
      <w:r>
        <w:rPr>
          <w:rFonts w:ascii="Arial" w:cs="Arial" w:eastAsia="Arial" w:hAnsi="Arial"/>
          <w:sz w:val="22"/>
          <w:szCs w:val="22"/>
        </w:rPr>
        <w:t xml:space="preserve">USDA Rural-Urban Continuum Codes (2023), applied at the county level.</w:t>
      </w:r>
    </w:p>
    <w:p>
      <w:pPr>
        <w:spacing w:after="160"/>
      </w:pPr>
      <w:r>
        <w:rPr>
          <w:rFonts w:ascii="Arial" w:cs="Arial" w:eastAsia="Arial" w:hAnsi="Arial"/>
          <w:b/>
          <w:bCs/>
          <w:sz w:val="22"/>
          <w:szCs w:val="22"/>
        </w:rPr>
        <w:t xml:space="preserve">Report data</w:t>
      </w:r>
    </w:p>
    <w:p>
      <w:pPr>
        <w:spacing w:after="160"/>
      </w:pPr>
      <w:r>
        <w:rPr>
          <w:rFonts w:ascii="Arial" w:cs="Arial" w:eastAsia="Arial" w:hAnsi="Arial"/>
          <w:sz w:val="22"/>
          <w:szCs w:val="22"/>
        </w:rPr>
        <w:t xml:space="preserve">2025 NextCycle Michigan Battery Gap Analysis, published by EGLE. Tables 5 through 11 were extracted, cleaned, and audited prior to analysis.</w:t>
      </w:r>
    </w:p>
    <w:p>
      <w:pPr>
        <w:spacing w:after="160"/>
      </w:pPr>
      <w:r>
        <w:rPr>
          <w:rFonts w:ascii="Arial" w:cs="Arial" w:eastAsia="Arial" w:hAnsi="Arial"/>
          <w:sz w:val="22"/>
          <w:szCs w:val="22"/>
        </w:rPr>
        <w:t xml:space="preserve">All data files, scripts, SQL queries, and Power BI dashboard files are available for review upon request.</w:t>
      </w:r>
    </w:p>
    <w:p>
      <w:pPr>
        <w:pStyle w:val="Heading1"/>
        <w:spacing w:after="120" w:before="320"/>
      </w:pPr>
      <w:r>
        <w:rPr>
          <w:rFonts w:ascii="Arial" w:cs="Arial" w:eastAsia="Arial" w:hAnsi="Arial"/>
          <w:b/>
          <w:bCs/>
          <w:color w:val="1F4E79"/>
          <w:sz w:val="32"/>
          <w:szCs w:val="32"/>
        </w:rPr>
        <w:t xml:space="preserve">References</w:t>
      </w:r>
    </w:p>
    <w:p>
      <w:pPr>
        <w:spacing w:after="160"/>
      </w:pPr>
      <w:r>
        <w:rPr>
          <w:rFonts w:ascii="Arial" w:cs="Arial" w:eastAsia="Arial" w:hAnsi="Arial"/>
          <w:sz w:val="22"/>
          <w:szCs w:val="22"/>
        </w:rPr>
        <w:t xml:space="preserve">Fogelman, R. (2026). 2025 Annual Waste and Recycling Facility Fires Report. Referenced in NextCycle Michigan Battery Gap Analysis, 2025.</w:t>
      </w:r>
    </w:p>
    <w:p>
      <w:pPr>
        <w:spacing w:after="160"/>
      </w:pPr>
      <w:r>
        <w:rPr>
          <w:rFonts w:ascii="Arial" w:cs="Arial" w:eastAsia="Arial" w:hAnsi="Arial"/>
          <w:sz w:val="22"/>
          <w:szCs w:val="22"/>
        </w:rPr>
        <w:t xml:space="preserve">MacLean, A. (2025). Grand Rapids Fire Department and Kent County Department of Public Works lithium battery warning. Referenced in NextCycle Michigan Battery Gap Analysis, 2025.</w:t>
      </w:r>
    </w:p>
    <w:p>
      <w:pPr>
        <w:spacing w:after="160"/>
      </w:pPr>
      <w:r>
        <w:rPr>
          <w:rFonts w:ascii="Arial" w:cs="Arial" w:eastAsia="Arial" w:hAnsi="Arial"/>
          <w:sz w:val="22"/>
          <w:szCs w:val="22"/>
        </w:rPr>
        <w:t xml:space="preserve">NextCycle Michigan. (2025). Michigan Battery Gap Analysis. Michigan Department of Environment, Great Lakes, and Energy (EGLE).</w:t>
      </w:r>
    </w:p>
    <w:p>
      <w:pPr>
        <w:spacing w:after="160"/>
      </w:pPr>
      <w:r>
        <w:rPr>
          <w:rFonts w:ascii="Arial" w:cs="Arial" w:eastAsia="Arial" w:hAnsi="Arial"/>
          <w:sz w:val="22"/>
          <w:szCs w:val="22"/>
        </w:rPr>
        <w:t xml:space="preserve">The Battery Network / Call2Recycle. (2025). Collection site participation information. Retrieved from batterynetwork.org.</w:t>
      </w:r>
    </w:p>
    <w:p>
      <w:pPr>
        <w:spacing w:after="160"/>
      </w:pPr>
      <w:r>
        <w:rPr>
          <w:rFonts w:ascii="Arial" w:cs="Arial" w:eastAsia="Arial" w:hAnsi="Arial"/>
          <w:sz w:val="22"/>
          <w:szCs w:val="22"/>
        </w:rPr>
        <w:t xml:space="preserve">U.S. Environmental Protection Agency. (2025, September). Battery Collection in Action Case Study: Sparking Awareness for Battery Fire Prevention in Larimer County, Colorado. Retrieved from epa.gov.</w:t>
      </w:r>
    </w:p>
    <w:p>
      <w:pPr>
        <w:spacing w:after="160"/>
      </w:pPr>
      <w:r>
        <w:rPr>
          <w:rFonts w:ascii="Arial" w:cs="Arial" w:eastAsia="Arial" w:hAnsi="Arial"/>
          <w:sz w:val="22"/>
          <w:szCs w:val="22"/>
        </w:rPr>
        <w:t xml:space="preserve">U.S. Census Bureau. (2023). American Community Survey 5-Year Estimates (2019-2023).</w:t>
      </w:r>
    </w:p>
    <w:p>
      <w:pPr>
        <w:spacing w:after="160"/>
      </w:pPr>
      <w:r>
        <w:rPr>
          <w:rFonts w:ascii="Arial" w:cs="Arial" w:eastAsia="Arial" w:hAnsi="Arial"/>
          <w:sz w:val="22"/>
          <w:szCs w:val="22"/>
        </w:rPr>
        <w:t xml:space="preserve">U.S. Department of Agriculture. (2023). Rural-Urban Continuum Codes. Economic Research Service.</w:t>
      </w:r>
    </w:p>
    <w:p>
      <w:pPr>
        <w:spacing w:after="160"/>
      </w:pPr>
      <w:r>
        <w:rPr>
          <w:rFonts w:ascii="Arial" w:cs="Arial" w:eastAsia="Arial" w:hAnsi="Arial"/>
          <w:sz w:val="22"/>
          <w:szCs w:val="22"/>
        </w:rPr>
        <w:t xml:space="preserve">District of Columbia Department of Energy and Environment. (2023). DOEE's Free Battery Recycling Program Charges Forward. Retrieved from doee.dc.gov.</w:t>
      </w:r>
    </w:p>
    <w:p>
      <w:pPr>
        <w:spacing w:after="160"/>
      </w:pPr>
      <w:r>
        <w:rPr>
          <w:rFonts w:ascii="Arial" w:cs="Arial" w:eastAsia="Arial" w:hAnsi="Arial"/>
          <w:sz w:val="22"/>
          <w:szCs w:val="22"/>
        </w:rPr>
        <w:t xml:space="preserve">Waste360 Staff. (2025). Troy Fire Department lithium battery warning. Referenced in NextCycle Michigan Battery Gap Analysis,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Michigan Battery Recycling Access Gap  |  Kenneth L Hood II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2026-06-11T05:41:19.501Z</dcterms:created>
  <dcterms:modified xsi:type="dcterms:W3CDTF">2026-06-11T05:41:19.514Z</dcterms:modified>
</cp:coreProperties>
</file>

<file path=docProps/custom.xml><?xml version="1.0" encoding="utf-8"?>
<Properties xmlns="http://schemas.openxmlformats.org/officeDocument/2006/custom-properties" xmlns:vt="http://schemas.openxmlformats.org/officeDocument/2006/docPropsVTypes"/>
</file>