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60"/>
      </w:pPr>
      <w:r>
        <w:rPr>
          <w:i/>
          <w:iCs/>
          <w:color w:val="555555"/>
          <w:sz w:val="20"/>
          <w:szCs w:val="20"/>
        </w:rPr>
        <w:t xml:space="preserve">Group Training — maximum three participants</w:t>
      </w:r>
    </w:p>
    <w:p>
      <w:pPr>
        <w:pBdr>
          <w:bottom w:val="single" w:color="BBBBBB" w:sz="6"/>
        </w:pBdr>
        <w:spacing w:after="100" w:before="100"/>
      </w:pPr>
    </w:p>
    <w:p>
      <w:pPr>
        <w:spacing w:after="140" w:before="28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40" w:before="280"/>
      </w:pPr>
      <w:r>
        <w:rPr>
          <w:b/>
          <w:bCs/>
          <w:sz w:val="22"/>
          <w:szCs w:val="22"/>
        </w:rPr>
        <w:t xml:space="preserve">TRAINING &amp; CANCELLATION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600"/>
      </w:tblGrid>
      <w:tr>
        <w:tc>
          <w:tcPr>
            <w:tcW w:type="dxa" w:w="2100"/>
            <w:shd w:fill="F2F2F2" w:val="clear"/>
            <w:tcMar>
              <w:top w:type="dxa" w:w="80"/>
              <w:left w:type="dxa" w:w="110"/>
              <w:bottom w:type="dxa" w:w="80"/>
              <w:right w:type="dxa" w:w="110"/>
            </w:tcMar>
          </w:tcPr>
          <w:p>
            <w:r>
              <w:rPr>
                <w:b/>
                <w:bCs/>
                <w:sz w:val="18"/>
                <w:szCs w:val="18"/>
              </w:rPr>
              <w:t xml:space="preserve">Policy</w:t>
            </w:r>
          </w:p>
        </w:tc>
        <w:tc>
          <w:tcPr>
            <w:tcW w:type="dxa" w:w="5300"/>
            <w:shd w:fill="F2F2F2" w:val="clear"/>
            <w:tcMar>
              <w:top w:type="dxa" w:w="80"/>
              <w:left w:type="dxa" w:w="110"/>
              <w:bottom w:type="dxa" w:w="80"/>
              <w:right w:type="dxa" w:w="110"/>
            </w:tcMar>
          </w:tcPr>
          <w:p>
            <w:pPr>
              <w:jc w:val="center"/>
            </w:pPr>
            <w:r>
              <w:rPr>
                <w:b/>
                <w:bCs/>
                <w:sz w:val="18"/>
                <w:szCs w:val="18"/>
              </w:rPr>
              <w:t xml:space="preserve">Terms</w:t>
            </w:r>
          </w:p>
        </w:tc>
        <w:tc>
          <w:tcPr>
            <w:tcW w:type="dxa" w:w="1600"/>
            <w:shd w:fill="F2F2F2" w:val="clear"/>
            <w:tcMar>
              <w:top w:type="dxa" w:w="80"/>
              <w:left w:type="dxa" w:w="110"/>
              <w:bottom w:type="dxa" w:w="80"/>
              <w:right w:type="dxa" w:w="110"/>
            </w:tcMar>
          </w:tcPr>
          <w:p>
            <w:pPr>
              <w:jc w:val="center"/>
            </w:pPr>
            <w:r>
              <w:rPr>
                <w:b/>
                <w:bCs/>
                <w:sz w:val="18"/>
                <w:szCs w:val="18"/>
              </w:rPr>
              <w:t xml:space="preserve">Initials</w:t>
            </w:r>
          </w:p>
        </w:tc>
      </w:tr>
      <w:tr>
        <w:tc>
          <w:tcPr>
            <w:tcW w:type="dxa" w:w="2100"/>
            <w:tcMar>
              <w:top w:type="dxa" w:w="80"/>
              <w:left w:type="dxa" w:w="110"/>
              <w:bottom w:type="dxa" w:w="80"/>
              <w:right w:type="dxa" w:w="110"/>
            </w:tcMar>
          </w:tcPr>
          <w:p>
            <w:r>
              <w:rPr>
                <w:sz w:val="18"/>
                <w:szCs w:val="18"/>
              </w:rPr>
              <w:t xml:space="preserve">Session cancellation</w:t>
            </w:r>
          </w:p>
        </w:tc>
        <w:tc>
          <w:tcPr>
            <w:tcW w:type="dxa" w:w="5300"/>
            <w:tcMar>
              <w:top w:type="dxa" w:w="80"/>
              <w:left w:type="dxa" w:w="110"/>
              <w:bottom w:type="dxa" w:w="80"/>
              <w:right w:type="dxa" w:w="110"/>
            </w:tcMar>
          </w:tcPr>
          <w:p>
            <w:pPr>
              <w:jc w:val="center"/>
            </w:pPr>
            <w:r>
              <w:rPr>
                <w:sz w:val="18"/>
                <w:szCs w:val="18"/>
              </w:rPr>
              <w:t xml:space="preserve">There is a 24-hour cancellation policy for all training sessions. Sessions cancelled with 24 hours' notice or more will be rescheduled where possible. Sessions cancelled within 24 hours of the booking will be forfeited.</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Direct debit cancellation</w:t>
            </w:r>
          </w:p>
        </w:tc>
        <w:tc>
          <w:tcPr>
            <w:tcW w:type="dxa" w:w="5300"/>
            <w:tcMar>
              <w:top w:type="dxa" w:w="80"/>
              <w:left w:type="dxa" w:w="110"/>
              <w:bottom w:type="dxa" w:w="80"/>
              <w:right w:type="dxa" w:w="110"/>
            </w:tcMar>
          </w:tcPr>
          <w:p>
            <w:pPr>
              <w:jc w:val="center"/>
            </w:pPr>
            <w:r>
              <w:rPr>
                <w:sz w:val="18"/>
                <w:szCs w:val="18"/>
              </w:rPr>
              <w:t xml:space="preserve">There is a 30-day cancellation policy for all direct debit agreements. Notice is required by email.</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Attendance of other participants</w:t>
            </w:r>
          </w:p>
        </w:tc>
        <w:tc>
          <w:tcPr>
            <w:tcW w:type="dxa" w:w="5300"/>
            <w:tcMar>
              <w:top w:type="dxa" w:w="80"/>
              <w:left w:type="dxa" w:w="110"/>
              <w:bottom w:type="dxa" w:w="80"/>
              <w:right w:type="dxa" w:w="110"/>
            </w:tcMar>
          </w:tcPr>
          <w:p>
            <w:pPr>
              <w:jc w:val="center"/>
            </w:pPr>
            <w:r>
              <w:rPr>
                <w:sz w:val="18"/>
                <w:szCs w:val="18"/>
              </w:rPr>
              <w:t xml:space="preserve">Your rate does not change if another participant is unable to attend. The session runs as scheduled for whoever attends, at the rate you have agreed. No adjustment is made in either direction.</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Change to group size</w:t>
            </w:r>
          </w:p>
        </w:tc>
        <w:tc>
          <w:tcPr>
            <w:tcW w:type="dxa" w:w="5300"/>
            <w:tcMar>
              <w:top w:type="dxa" w:w="80"/>
              <w:left w:type="dxa" w:w="110"/>
              <w:bottom w:type="dxa" w:w="80"/>
              <w:right w:type="dxa" w:w="110"/>
            </w:tcMar>
          </w:tcPr>
          <w:p>
            <w:pPr>
              <w:jc w:val="center"/>
            </w:pPr>
            <w:r>
              <w:rPr>
                <w:sz w:val="18"/>
                <w:szCs w:val="18"/>
              </w:rPr>
              <w:t xml:space="preserve">If a participant leaves permanently, you will continue at your agreed rate for two weeks while a replacement is sought. Before that period ends the Trainer will confirm to you in writing the rate that would apply to the new group size. Your rate will not change unless you agree to the new rate in writing. If you would prefer not to continue at that rate, you may end this agreement at that point without further notice period or fee.</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Separate agreements</w:t>
            </w:r>
          </w:p>
        </w:tc>
        <w:tc>
          <w:tcPr>
            <w:tcW w:type="dxa" w:w="5300"/>
            <w:tcMar>
              <w:top w:type="dxa" w:w="80"/>
              <w:left w:type="dxa" w:w="110"/>
              <w:bottom w:type="dxa" w:w="80"/>
              <w:right w:type="dxa" w:w="110"/>
            </w:tcMar>
          </w:tcPr>
          <w:p>
            <w:pPr>
              <w:jc w:val="center"/>
            </w:pPr>
            <w:r>
              <w:rPr>
                <w:sz w:val="18"/>
                <w:szCs w:val="18"/>
              </w:rPr>
              <w:t xml:space="preserve">Each participant holds their own agreement and their own payment arrangement. Participants are not jointly responsible for one another's fees.</w:t>
            </w:r>
          </w:p>
        </w:tc>
        <w:tc>
          <w:tcPr>
            <w:tcW w:type="dxa" w:w="1600"/>
            <w:tcMar>
              <w:top w:type="dxa" w:w="80"/>
              <w:left w:type="dxa" w:w="110"/>
              <w:bottom w:type="dxa" w:w="80"/>
              <w:right w:type="dxa" w:w="110"/>
            </w:tcMar>
          </w:tcPr>
          <w:p>
            <w:pPr>
              <w:jc w:val="center"/>
            </w:pPr>
            <w:r>
              <w:rPr>
                <w:sz w:val="18"/>
                <w:szCs w:val="18"/>
              </w:rPr>
              <w:t xml:space="preserve"/>
            </w:r>
          </w:p>
        </w:tc>
      </w:tr>
    </w:tbl>
    <w:p>
      <w:pPr>
        <w:spacing w:after="140" w:before="28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 Ezidebit transaction fees are charged in addition to the amounts agreed below and will appear on the debit.</w:t>
      </w:r>
    </w:p>
    <w:p>
      <w:pPr>
        <w:spacing w:after="120"/>
      </w:pPr>
      <w:r>
        <w:rPr>
          <w:sz w:val="19"/>
          <w:szCs w:val="19"/>
        </w:rPr>
        <w:t xml:space="preserve">Access to the Kinetic Hustl App is $22 per week (GST incl.) and is optional. Session rates differ depending on whether app access is held; both are shown below.</w:t>
      </w:r>
    </w:p>
    <w:p>
      <w:pPr>
        <w:spacing w:after="140" w:before="280"/>
      </w:pPr>
      <w:r>
        <w:rPr>
          <w:b/>
          <w:bCs/>
          <w:sz w:val="22"/>
          <w:szCs w:val="22"/>
        </w:rPr>
        <w:t xml:space="preserve">AGREEMENT</w:t>
      </w:r>
    </w:p>
    <w:p>
      <w:pPr>
        <w:spacing w:after="160"/>
      </w:pPr>
      <w:r>
        <w:rPr>
          <w:sz w:val="19"/>
          <w:szCs w:val="19"/>
        </w:rPr>
        <w:t xml:space="preserve">I ______________________________ have agreed to ______ weekly 45-minute Group Training session(s), maximum three participants,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F2F2F2" w:val="clear"/>
            <w:tcMar>
              <w:top w:type="dxa" w:w="80"/>
              <w:left w:type="dxa" w:w="110"/>
              <w:bottom w:type="dxa" w:w="80"/>
              <w:right w:type="dxa" w:w="110"/>
            </w:tcMar>
          </w:tcPr>
          <w:p>
            <w:r>
              <w:rPr>
                <w:b/>
                <w:bCs/>
                <w:sz w:val="18"/>
                <w:szCs w:val="18"/>
              </w:rPr>
              <w:t xml:space="preserve"/>
            </w:r>
          </w:p>
        </w:tc>
        <w:tc>
          <w:tcPr>
            <w:tcW w:type="dxa" w:w="2800"/>
            <w:shd w:fill="F2F2F2" w:val="clear"/>
            <w:tcMar>
              <w:top w:type="dxa" w:w="80"/>
              <w:left w:type="dxa" w:w="110"/>
              <w:bottom w:type="dxa" w:w="80"/>
              <w:right w:type="dxa" w:w="110"/>
            </w:tcMar>
          </w:tcPr>
          <w:p>
            <w:pPr>
              <w:jc w:val="center"/>
            </w:pPr>
            <w:r>
              <w:rPr>
                <w:b/>
                <w:bCs/>
                <w:sz w:val="18"/>
                <w:szCs w:val="18"/>
              </w:rPr>
              <w:t xml:space="preserve">With app access</w:t>
            </w:r>
          </w:p>
        </w:tc>
        <w:tc>
          <w:tcPr>
            <w:tcW w:type="dxa" w:w="2800"/>
            <w:shd w:fill="F2F2F2" w:val="clear"/>
            <w:tcMar>
              <w:top w:type="dxa" w:w="80"/>
              <w:left w:type="dxa" w:w="110"/>
              <w:bottom w:type="dxa" w:w="80"/>
              <w:right w:type="dxa" w:w="110"/>
            </w:tcMar>
          </w:tcPr>
          <w:p>
            <w:pPr>
              <w:jc w:val="center"/>
            </w:pPr>
            <w:r>
              <w:rPr>
                <w:b/>
                <w:bCs/>
                <w:sz w:val="18"/>
                <w:szCs w:val="18"/>
              </w:rPr>
              <w:t xml:space="preserve">Without app access</w:t>
            </w:r>
          </w:p>
        </w:tc>
      </w:tr>
      <w:tr>
        <w:tc>
          <w:tcPr>
            <w:tcW w:type="dxa" w:w="3400"/>
            <w:tcMar>
              <w:top w:type="dxa" w:w="80"/>
              <w:left w:type="dxa" w:w="110"/>
              <w:bottom w:type="dxa" w:w="80"/>
              <w:right w:type="dxa" w:w="110"/>
            </w:tcMar>
          </w:tcPr>
          <w:p>
            <w:r>
              <w:rPr>
                <w:sz w:val="18"/>
                <w:szCs w:val="18"/>
              </w:rPr>
              <w:t xml:space="preserve">3-on-1 set rate</w:t>
            </w:r>
          </w:p>
        </w:tc>
        <w:tc>
          <w:tcPr>
            <w:tcW w:type="dxa" w:w="2800"/>
            <w:tcMar>
              <w:top w:type="dxa" w:w="80"/>
              <w:left w:type="dxa" w:w="110"/>
              <w:bottom w:type="dxa" w:w="80"/>
              <w:right w:type="dxa" w:w="110"/>
            </w:tcMar>
          </w:tcPr>
          <w:p>
            <w:pPr>
              <w:jc w:val="center"/>
            </w:pPr>
            <w:r>
              <w:rPr>
                <w:sz w:val="18"/>
                <w:szCs w:val="18"/>
              </w:rPr>
              <w:t xml:space="preserve">$55</w:t>
            </w:r>
          </w:p>
        </w:tc>
        <w:tc>
          <w:tcPr>
            <w:tcW w:type="dxa" w:w="2800"/>
            <w:tcMar>
              <w:top w:type="dxa" w:w="80"/>
              <w:left w:type="dxa" w:w="110"/>
              <w:bottom w:type="dxa" w:w="80"/>
              <w:right w:type="dxa" w:w="110"/>
            </w:tcMar>
          </w:tcPr>
          <w:p>
            <w:pPr>
              <w:jc w:val="center"/>
            </w:pPr>
            <w:r>
              <w:rPr>
                <w:sz w:val="18"/>
                <w:szCs w:val="18"/>
              </w:rPr>
              <w:t xml:space="preserve">$77</w:t>
            </w:r>
          </w:p>
        </w:tc>
      </w:tr>
    </w:tbl>
    <w:p>
      <w:pPr>
        <w:spacing w:after="120" w:before="180"/>
      </w:pPr>
      <w:r>
        <w:rPr>
          <w:sz w:val="19"/>
          <w:szCs w:val="19"/>
        </w:rPr>
        <w:t xml:space="preserve">App access — $22 per week (GST incl.), optional:   </w:t>
      </w:r>
      <w:r>
        <w:rPr>
          <w:b/>
          <w:bCs/>
          <w:sz w:val="19"/>
          <w:szCs w:val="19"/>
        </w:rPr>
        <w:t xml:space="preserve">☐ Included     ☐ Not included</w:t>
      </w:r>
    </w:p>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F2F2F2" w:val="clear"/>
            <w:tcMar>
              <w:top w:type="dxa" w:w="80"/>
              <w:left w:type="dxa" w:w="110"/>
              <w:bottom w:type="dxa" w:w="80"/>
              <w:right w:type="dxa" w:w="110"/>
            </w:tcMar>
          </w:tcPr>
          <w:p>
            <w:r>
              <w:rPr>
                <w:b/>
                <w:bCs/>
                <w:sz w:val="18"/>
                <w:szCs w:val="18"/>
              </w:rPr>
              <w:t xml:space="preserve">Additional session</w:t>
            </w:r>
          </w:p>
        </w:tc>
        <w:tc>
          <w:tcPr>
            <w:tcW w:type="dxa" w:w="2800"/>
            <w:shd w:fill="F2F2F2" w:val="clear"/>
            <w:tcMar>
              <w:top w:type="dxa" w:w="80"/>
              <w:left w:type="dxa" w:w="110"/>
              <w:bottom w:type="dxa" w:w="80"/>
              <w:right w:type="dxa" w:w="110"/>
            </w:tcMar>
          </w:tcPr>
          <w:p>
            <w:pPr>
              <w:jc w:val="center"/>
            </w:pPr>
            <w:r>
              <w:rPr>
                <w:b/>
                <w:bCs/>
                <w:sz w:val="18"/>
                <w:szCs w:val="18"/>
              </w:rPr>
              <w:t xml:space="preserve">With app access</w:t>
            </w:r>
          </w:p>
        </w:tc>
        <w:tc>
          <w:tcPr>
            <w:tcW w:type="dxa" w:w="2800"/>
            <w:shd w:fill="F2F2F2" w:val="clear"/>
            <w:tcMar>
              <w:top w:type="dxa" w:w="80"/>
              <w:left w:type="dxa" w:w="110"/>
              <w:bottom w:type="dxa" w:w="80"/>
              <w:right w:type="dxa" w:w="110"/>
            </w:tcMar>
          </w:tcPr>
          <w:p>
            <w:pPr>
              <w:jc w:val="center"/>
            </w:pPr>
            <w:r>
              <w:rPr>
                <w:b/>
                <w:bCs/>
                <w:sz w:val="18"/>
                <w:szCs w:val="18"/>
              </w:rPr>
              <w:t xml:space="preserve">Without app access</w:t>
            </w:r>
          </w:p>
        </w:tc>
      </w:tr>
      <w:tr>
        <w:tc>
          <w:tcPr>
            <w:tcW w:type="dxa" w:w="3400"/>
            <w:tcMar>
              <w:top w:type="dxa" w:w="80"/>
              <w:left w:type="dxa" w:w="110"/>
              <w:bottom w:type="dxa" w:w="80"/>
              <w:right w:type="dxa" w:w="110"/>
            </w:tcMar>
          </w:tcPr>
          <w:p>
            <w:r>
              <w:rPr>
                <w:sz w:val="18"/>
                <w:szCs w:val="18"/>
              </w:rPr>
              <w:t xml:space="preserve">3-on-1</w:t>
            </w:r>
          </w:p>
        </w:tc>
        <w:tc>
          <w:tcPr>
            <w:tcW w:type="dxa" w:w="2800"/>
            <w:tcMar>
              <w:top w:type="dxa" w:w="80"/>
              <w:left w:type="dxa" w:w="110"/>
              <w:bottom w:type="dxa" w:w="80"/>
              <w:right w:type="dxa" w:w="110"/>
            </w:tcMar>
          </w:tcPr>
          <w:p>
            <w:pPr>
              <w:jc w:val="center"/>
            </w:pPr>
            <w:r>
              <w:rPr>
                <w:sz w:val="18"/>
                <w:szCs w:val="18"/>
              </w:rPr>
              <w:t xml:space="preserve">$55</w:t>
            </w:r>
          </w:p>
        </w:tc>
        <w:tc>
          <w:tcPr>
            <w:tcW w:type="dxa" w:w="2800"/>
            <w:tcMar>
              <w:top w:type="dxa" w:w="80"/>
              <w:left w:type="dxa" w:w="110"/>
              <w:bottom w:type="dxa" w:w="80"/>
              <w:right w:type="dxa" w:w="110"/>
            </w:tcMar>
          </w:tcPr>
          <w:p>
            <w:pPr>
              <w:jc w:val="center"/>
            </w:pPr>
            <w:r>
              <w:rPr>
                <w:sz w:val="18"/>
                <w:szCs w:val="18"/>
              </w:rPr>
              <w:t xml:space="preserve">$77</w:t>
            </w:r>
          </w:p>
        </w:tc>
      </w:tr>
      <w:tr>
        <w:tc>
          <w:tcPr>
            <w:tcW w:type="dxa" w:w="3400"/>
            <w:tcMar>
              <w:top w:type="dxa" w:w="80"/>
              <w:left w:type="dxa" w:w="110"/>
              <w:bottom w:type="dxa" w:w="80"/>
              <w:right w:type="dxa" w:w="110"/>
            </w:tcMar>
          </w:tcPr>
          <w:p>
            <w:r>
              <w:rPr>
                <w:sz w:val="18"/>
                <w:szCs w:val="18"/>
              </w:rPr>
              <w:t xml:space="preserve">2-on-1</w:t>
            </w:r>
          </w:p>
        </w:tc>
        <w:tc>
          <w:tcPr>
            <w:tcW w:type="dxa" w:w="2800"/>
            <w:tcMar>
              <w:top w:type="dxa" w:w="80"/>
              <w:left w:type="dxa" w:w="110"/>
              <w:bottom w:type="dxa" w:w="80"/>
              <w:right w:type="dxa" w:w="110"/>
            </w:tcMar>
          </w:tcPr>
          <w:p>
            <w:pPr>
              <w:jc w:val="center"/>
            </w:pPr>
            <w:r>
              <w:rPr>
                <w:sz w:val="18"/>
                <w:szCs w:val="18"/>
              </w:rPr>
              <w:t xml:space="preserve">$66</w:t>
            </w:r>
          </w:p>
        </w:tc>
        <w:tc>
          <w:tcPr>
            <w:tcW w:type="dxa" w:w="2800"/>
            <w:tcMar>
              <w:top w:type="dxa" w:w="80"/>
              <w:left w:type="dxa" w:w="110"/>
              <w:bottom w:type="dxa" w:w="80"/>
              <w:right w:type="dxa" w:w="110"/>
            </w:tcMar>
          </w:tcPr>
          <w:p>
            <w:pPr>
              <w:jc w:val="center"/>
            </w:pPr>
            <w:r>
              <w:rPr>
                <w:sz w:val="18"/>
                <w:szCs w:val="18"/>
              </w:rPr>
              <w:t xml:space="preserve">$88</w:t>
            </w:r>
          </w:p>
        </w:tc>
      </w:tr>
      <w:tr>
        <w:tc>
          <w:tcPr>
            <w:tcW w:type="dxa" w:w="3400"/>
            <w:tcMar>
              <w:top w:type="dxa" w:w="80"/>
              <w:left w:type="dxa" w:w="110"/>
              <w:bottom w:type="dxa" w:w="80"/>
              <w:right w:type="dxa" w:w="110"/>
            </w:tcMar>
          </w:tcPr>
          <w:p>
            <w:r>
              <w:rPr>
                <w:sz w:val="18"/>
                <w:szCs w:val="18"/>
              </w:rPr>
              <w:t xml:space="preserve">1-on-1</w:t>
            </w:r>
          </w:p>
        </w:tc>
        <w:tc>
          <w:tcPr>
            <w:tcW w:type="dxa" w:w="2800"/>
            <w:tcMar>
              <w:top w:type="dxa" w:w="80"/>
              <w:left w:type="dxa" w:w="110"/>
              <w:bottom w:type="dxa" w:w="80"/>
              <w:right w:type="dxa" w:w="110"/>
            </w:tcMar>
          </w:tcPr>
          <w:p>
            <w:pPr>
              <w:jc w:val="center"/>
            </w:pPr>
            <w:r>
              <w:rPr>
                <w:sz w:val="18"/>
                <w:szCs w:val="18"/>
              </w:rPr>
              <w:t xml:space="preserve">$88</w:t>
            </w:r>
          </w:p>
        </w:tc>
        <w:tc>
          <w:tcPr>
            <w:tcW w:type="dxa" w:w="2800"/>
            <w:tcMar>
              <w:top w:type="dxa" w:w="80"/>
              <w:left w:type="dxa" w:w="110"/>
              <w:bottom w:type="dxa" w:w="80"/>
              <w:right w:type="dxa" w:w="110"/>
            </w:tcMar>
          </w:tcPr>
          <w:p>
            <w:pPr>
              <w:jc w:val="center"/>
            </w:pPr>
            <w:r>
              <w:rPr>
                <w:sz w:val="18"/>
                <w:szCs w:val="18"/>
              </w:rPr>
              <w:t xml:space="preserve">$110</w:t>
            </w:r>
          </w:p>
        </w:tc>
      </w:tr>
    </w:tbl>
    <w:p>
      <w:pPr>
        <w:spacing w:after="140" w:before="280"/>
      </w:pPr>
      <w:r>
        <w:rPr>
          <w:sz w:val="19"/>
          <w:szCs w:val="19"/>
        </w:rPr>
        <w:t xml:space="preserve">My weekly payment amount will be $____________ starting _____ / _____ / _______ for a minimum of _____ weeks.</w:t>
      </w:r>
    </w:p>
    <w:p>
      <w:pPr>
        <w:spacing w:after="400"/>
      </w:pPr>
      <w:r>
        <w:rPr>
          <w:sz w:val="19"/>
          <w:szCs w:val="19"/>
        </w:rPr>
        <w:t xml:space="preserve">I understand that the above terms and conditions apply.</w:t>
      </w:r>
    </w:p>
    <w:p>
      <w:pPr>
        <w:spacing w:after="120"/>
      </w:pPr>
      <w:r>
        <w:rPr>
          <w:sz w:val="19"/>
          <w:szCs w:val="19"/>
        </w:rPr>
        <w:t xml:space="preserve">Client signature: __________________________________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2026-08-23T09:17:40.631Z</dcterms:created>
  <dcterms:modified xsi:type="dcterms:W3CDTF">2026-08-23T09:17:40.631Z</dcterms:modified>
</cp:coreProperties>
</file>

<file path=docProps/custom.xml><?xml version="1.0" encoding="utf-8"?>
<Properties xmlns="http://schemas.openxmlformats.org/officeDocument/2006/custom-properties" xmlns:vt="http://schemas.openxmlformats.org/officeDocument/2006/docPropsVTypes"/>
</file>