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60"/>
      </w:pPr>
      <w:r>
        <w:rPr>
          <w:i/>
          <w:iCs/>
          <w:color w:val="555555"/>
          <w:sz w:val="20"/>
          <w:szCs w:val="20"/>
        </w:rPr>
        <w:t xml:space="preserve">Personal Training — 1-on-1</w:t>
      </w:r>
    </w:p>
    <w:p>
      <w:pPr>
        <w:pBdr>
          <w:bottom w:val="single" w:color="BBBBBB" w:sz="6"/>
        </w:pBdr>
        <w:spacing w:after="100" w:before="100"/>
      </w:pPr>
    </w:p>
    <w:p>
      <w:pPr>
        <w:spacing w:after="140" w:before="28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40" w:before="280"/>
      </w:pPr>
      <w:r>
        <w:rPr>
          <w:b/>
          <w:bCs/>
          <w:sz w:val="22"/>
          <w:szCs w:val="22"/>
        </w:rPr>
        <w:t xml:space="preserve">TRAINING &amp; CANCELLATION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600"/>
      </w:tblGrid>
      <w:tr>
        <w:tc>
          <w:tcPr>
            <w:tcW w:type="dxa" w:w="2100"/>
            <w:shd w:fill="F2F2F2" w:val="clear"/>
            <w:tcMar>
              <w:top w:type="dxa" w:w="80"/>
              <w:left w:type="dxa" w:w="110"/>
              <w:bottom w:type="dxa" w:w="80"/>
              <w:right w:type="dxa" w:w="110"/>
            </w:tcMar>
          </w:tcPr>
          <w:p>
            <w:r>
              <w:rPr>
                <w:b/>
                <w:bCs/>
                <w:sz w:val="18"/>
                <w:szCs w:val="18"/>
              </w:rPr>
              <w:t xml:space="preserve">Policy</w:t>
            </w:r>
          </w:p>
        </w:tc>
        <w:tc>
          <w:tcPr>
            <w:tcW w:type="dxa" w:w="5300"/>
            <w:shd w:fill="F2F2F2" w:val="clear"/>
            <w:tcMar>
              <w:top w:type="dxa" w:w="80"/>
              <w:left w:type="dxa" w:w="110"/>
              <w:bottom w:type="dxa" w:w="80"/>
              <w:right w:type="dxa" w:w="110"/>
            </w:tcMar>
          </w:tcPr>
          <w:p>
            <w:pPr>
              <w:jc w:val="center"/>
            </w:pPr>
            <w:r>
              <w:rPr>
                <w:b/>
                <w:bCs/>
                <w:sz w:val="18"/>
                <w:szCs w:val="18"/>
              </w:rPr>
              <w:t xml:space="preserve">Terms</w:t>
            </w:r>
          </w:p>
        </w:tc>
        <w:tc>
          <w:tcPr>
            <w:tcW w:type="dxa" w:w="1600"/>
            <w:shd w:fill="F2F2F2" w:val="clear"/>
            <w:tcMar>
              <w:top w:type="dxa" w:w="80"/>
              <w:left w:type="dxa" w:w="110"/>
              <w:bottom w:type="dxa" w:w="80"/>
              <w:right w:type="dxa" w:w="110"/>
            </w:tcMar>
          </w:tcPr>
          <w:p>
            <w:pPr>
              <w:jc w:val="center"/>
            </w:pPr>
            <w:r>
              <w:rPr>
                <w:b/>
                <w:bCs/>
                <w:sz w:val="18"/>
                <w:szCs w:val="18"/>
              </w:rPr>
              <w:t xml:space="preserve">Initials</w:t>
            </w:r>
          </w:p>
        </w:tc>
      </w:tr>
      <w:tr>
        <w:tc>
          <w:tcPr>
            <w:tcW w:type="dxa" w:w="2100"/>
            <w:tcMar>
              <w:top w:type="dxa" w:w="80"/>
              <w:left w:type="dxa" w:w="110"/>
              <w:bottom w:type="dxa" w:w="80"/>
              <w:right w:type="dxa" w:w="110"/>
            </w:tcMar>
          </w:tcPr>
          <w:p>
            <w:r>
              <w:rPr>
                <w:sz w:val="18"/>
                <w:szCs w:val="18"/>
              </w:rPr>
              <w:t xml:space="preserve">Session cancellation</w:t>
            </w:r>
          </w:p>
        </w:tc>
        <w:tc>
          <w:tcPr>
            <w:tcW w:type="dxa" w:w="5300"/>
            <w:tcMar>
              <w:top w:type="dxa" w:w="80"/>
              <w:left w:type="dxa" w:w="110"/>
              <w:bottom w:type="dxa" w:w="80"/>
              <w:right w:type="dxa" w:w="110"/>
            </w:tcMar>
          </w:tcPr>
          <w:p>
            <w:pPr>
              <w:jc w:val="center"/>
            </w:pPr>
            <w:r>
              <w:rPr>
                <w:sz w:val="18"/>
                <w:szCs w:val="18"/>
              </w:rPr>
              <w:t xml:space="preserve">There is a 24-hour cancellation policy for all training sessions. Sessions cancelled with 24 hours' notice or more will be rescheduled where possible. Sessions cancelled within 24 hours of the booking will be forfeited.</w:t>
            </w:r>
          </w:p>
        </w:tc>
        <w:tc>
          <w:tcPr>
            <w:tcW w:type="dxa" w:w="1600"/>
            <w:tcMar>
              <w:top w:type="dxa" w:w="80"/>
              <w:left w:type="dxa" w:w="110"/>
              <w:bottom w:type="dxa" w:w="80"/>
              <w:right w:type="dxa" w:w="110"/>
            </w:tcMar>
          </w:tcPr>
          <w:p>
            <w:pPr>
              <w:jc w:val="center"/>
            </w:pPr>
            <w:r>
              <w:rPr>
                <w:sz w:val="18"/>
                <w:szCs w:val="18"/>
              </w:rPr>
              <w:t xml:space="preserve"/>
            </w:r>
          </w:p>
        </w:tc>
      </w:tr>
      <w:tr>
        <w:tc>
          <w:tcPr>
            <w:tcW w:type="dxa" w:w="2100"/>
            <w:tcMar>
              <w:top w:type="dxa" w:w="80"/>
              <w:left w:type="dxa" w:w="110"/>
              <w:bottom w:type="dxa" w:w="80"/>
              <w:right w:type="dxa" w:w="110"/>
            </w:tcMar>
          </w:tcPr>
          <w:p>
            <w:r>
              <w:rPr>
                <w:sz w:val="18"/>
                <w:szCs w:val="18"/>
              </w:rPr>
              <w:t xml:space="preserve">Direct debit cancellation</w:t>
            </w:r>
          </w:p>
        </w:tc>
        <w:tc>
          <w:tcPr>
            <w:tcW w:type="dxa" w:w="5300"/>
            <w:tcMar>
              <w:top w:type="dxa" w:w="80"/>
              <w:left w:type="dxa" w:w="110"/>
              <w:bottom w:type="dxa" w:w="80"/>
              <w:right w:type="dxa" w:w="110"/>
            </w:tcMar>
          </w:tcPr>
          <w:p>
            <w:pPr>
              <w:jc w:val="center"/>
            </w:pPr>
            <w:r>
              <w:rPr>
                <w:sz w:val="18"/>
                <w:szCs w:val="18"/>
              </w:rPr>
              <w:t xml:space="preserve">There is a 30-day cancellation policy for all direct debit agreements. Notice is required by email.</w:t>
            </w:r>
          </w:p>
        </w:tc>
        <w:tc>
          <w:tcPr>
            <w:tcW w:type="dxa" w:w="1600"/>
            <w:tcMar>
              <w:top w:type="dxa" w:w="80"/>
              <w:left w:type="dxa" w:w="110"/>
              <w:bottom w:type="dxa" w:w="80"/>
              <w:right w:type="dxa" w:w="110"/>
            </w:tcMar>
          </w:tcPr>
          <w:p>
            <w:pPr>
              <w:jc w:val="center"/>
            </w:pPr>
            <w:r>
              <w:rPr>
                <w:sz w:val="18"/>
                <w:szCs w:val="18"/>
              </w:rPr>
              <w:t xml:space="preserve"/>
            </w:r>
          </w:p>
        </w:tc>
      </w:tr>
    </w:tbl>
    <w:p>
      <w:pPr>
        <w:spacing w:after="140" w:before="28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 Ezidebit transaction fees are charged in addition to the amounts agreed below and will appear on the debit.</w:t>
      </w:r>
    </w:p>
    <w:p>
      <w:pPr>
        <w:spacing w:after="120"/>
      </w:pPr>
      <w:r>
        <w:rPr>
          <w:sz w:val="19"/>
          <w:szCs w:val="19"/>
        </w:rPr>
        <w:t xml:space="preserve">Access to the Kinetic Hustl App is $22 per week (GST incl.) and is optional. Session rates differ depending on whether app access is held; both are shown below.</w:t>
      </w:r>
    </w:p>
    <w:p>
      <w:pPr>
        <w:spacing w:after="140" w:before="280"/>
      </w:pPr>
      <w:r>
        <w:rPr>
          <w:b/>
          <w:bCs/>
          <w:sz w:val="22"/>
          <w:szCs w:val="22"/>
        </w:rPr>
        <w:t xml:space="preserve">AGREEMENT</w:t>
      </w:r>
    </w:p>
    <w:p>
      <w:pPr>
        <w:spacing w:after="160"/>
      </w:pPr>
      <w:r>
        <w:rPr>
          <w:sz w:val="19"/>
          <w:szCs w:val="19"/>
        </w:rPr>
        <w:t xml:space="preserve">I ______________________________ have agreed to ______ 45-minute Personal Training session(s) per ____________ (week / fortnight)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c>
          <w:tcPr>
            <w:tcW w:type="dxa" w:w="3400"/>
            <w:shd w:fill="F2F2F2" w:val="clear"/>
            <w:tcMar>
              <w:top w:type="dxa" w:w="80"/>
              <w:left w:type="dxa" w:w="110"/>
              <w:bottom w:type="dxa" w:w="80"/>
              <w:right w:type="dxa" w:w="110"/>
            </w:tcMar>
          </w:tcPr>
          <w:p>
            <w:r>
              <w:rPr>
                <w:b/>
                <w:bCs/>
                <w:sz w:val="18"/>
                <w:szCs w:val="18"/>
              </w:rPr>
              <w:t xml:space="preserve">Frequency</w:t>
            </w:r>
          </w:p>
        </w:tc>
        <w:tc>
          <w:tcPr>
            <w:tcW w:type="dxa" w:w="2800"/>
            <w:shd w:fill="F2F2F2" w:val="clear"/>
            <w:tcMar>
              <w:top w:type="dxa" w:w="80"/>
              <w:left w:type="dxa" w:w="110"/>
              <w:bottom w:type="dxa" w:w="80"/>
              <w:right w:type="dxa" w:w="110"/>
            </w:tcMar>
          </w:tcPr>
          <w:p>
            <w:pPr>
              <w:jc w:val="center"/>
            </w:pPr>
            <w:r>
              <w:rPr>
                <w:b/>
                <w:bCs/>
                <w:sz w:val="18"/>
                <w:szCs w:val="18"/>
              </w:rPr>
              <w:t xml:space="preserve">With app access</w:t>
            </w:r>
          </w:p>
        </w:tc>
        <w:tc>
          <w:tcPr>
            <w:tcW w:type="dxa" w:w="2800"/>
            <w:shd w:fill="F2F2F2" w:val="clear"/>
            <w:tcMar>
              <w:top w:type="dxa" w:w="80"/>
              <w:left w:type="dxa" w:w="110"/>
              <w:bottom w:type="dxa" w:w="80"/>
              <w:right w:type="dxa" w:w="110"/>
            </w:tcMar>
          </w:tcPr>
          <w:p>
            <w:pPr>
              <w:jc w:val="center"/>
            </w:pPr>
            <w:r>
              <w:rPr>
                <w:b/>
                <w:bCs/>
                <w:sz w:val="18"/>
                <w:szCs w:val="18"/>
              </w:rPr>
              <w:t xml:space="preserve">Without app access</w:t>
            </w:r>
          </w:p>
        </w:tc>
      </w:tr>
      <w:tr>
        <w:tc>
          <w:tcPr>
            <w:tcW w:type="dxa" w:w="3400"/>
            <w:tcMar>
              <w:top w:type="dxa" w:w="80"/>
              <w:left w:type="dxa" w:w="110"/>
              <w:bottom w:type="dxa" w:w="80"/>
              <w:right w:type="dxa" w:w="110"/>
            </w:tcMar>
          </w:tcPr>
          <w:p>
            <w:r>
              <w:rPr>
                <w:sz w:val="18"/>
                <w:szCs w:val="18"/>
              </w:rPr>
              <w:t xml:space="preserve">Weekly</w:t>
            </w:r>
          </w:p>
        </w:tc>
        <w:tc>
          <w:tcPr>
            <w:tcW w:type="dxa" w:w="2800"/>
            <w:tcMar>
              <w:top w:type="dxa" w:w="80"/>
              <w:left w:type="dxa" w:w="110"/>
              <w:bottom w:type="dxa" w:w="80"/>
              <w:right w:type="dxa" w:w="110"/>
            </w:tcMar>
          </w:tcPr>
          <w:p>
            <w:pPr>
              <w:jc w:val="center"/>
            </w:pPr>
            <w:r>
              <w:rPr>
                <w:sz w:val="18"/>
                <w:szCs w:val="18"/>
              </w:rPr>
              <w:t xml:space="preserve">$88</w:t>
            </w:r>
          </w:p>
        </w:tc>
        <w:tc>
          <w:tcPr>
            <w:tcW w:type="dxa" w:w="2800"/>
            <w:tcMar>
              <w:top w:type="dxa" w:w="80"/>
              <w:left w:type="dxa" w:w="110"/>
              <w:bottom w:type="dxa" w:w="80"/>
              <w:right w:type="dxa" w:w="110"/>
            </w:tcMar>
          </w:tcPr>
          <w:p>
            <w:pPr>
              <w:jc w:val="center"/>
            </w:pPr>
            <w:r>
              <w:rPr>
                <w:sz w:val="18"/>
                <w:szCs w:val="18"/>
              </w:rPr>
              <w:t xml:space="preserve">$110</w:t>
            </w:r>
          </w:p>
        </w:tc>
      </w:tr>
      <w:tr>
        <w:tc>
          <w:tcPr>
            <w:tcW w:type="dxa" w:w="3400"/>
            <w:tcMar>
              <w:top w:type="dxa" w:w="80"/>
              <w:left w:type="dxa" w:w="110"/>
              <w:bottom w:type="dxa" w:w="80"/>
              <w:right w:type="dxa" w:w="110"/>
            </w:tcMar>
          </w:tcPr>
          <w:p>
            <w:r>
              <w:rPr>
                <w:sz w:val="18"/>
                <w:szCs w:val="18"/>
              </w:rPr>
              <w:t xml:space="preserve">Flexi (fortnightly)</w:t>
            </w:r>
          </w:p>
        </w:tc>
        <w:tc>
          <w:tcPr>
            <w:tcW w:type="dxa" w:w="2800"/>
            <w:tcMar>
              <w:top w:type="dxa" w:w="80"/>
              <w:left w:type="dxa" w:w="110"/>
              <w:bottom w:type="dxa" w:w="80"/>
              <w:right w:type="dxa" w:w="110"/>
            </w:tcMar>
          </w:tcPr>
          <w:p>
            <w:pPr>
              <w:jc w:val="center"/>
            </w:pPr>
            <w:r>
              <w:rPr>
                <w:sz w:val="18"/>
                <w:szCs w:val="18"/>
              </w:rPr>
              <w:t xml:space="preserve">$104.50</w:t>
            </w:r>
          </w:p>
        </w:tc>
        <w:tc>
          <w:tcPr>
            <w:tcW w:type="dxa" w:w="2800"/>
            <w:tcMar>
              <w:top w:type="dxa" w:w="80"/>
              <w:left w:type="dxa" w:w="110"/>
              <w:bottom w:type="dxa" w:w="80"/>
              <w:right w:type="dxa" w:w="110"/>
            </w:tcMar>
          </w:tcPr>
          <w:p>
            <w:pPr>
              <w:jc w:val="center"/>
            </w:pPr>
            <w:r>
              <w:rPr>
                <w:sz w:val="18"/>
                <w:szCs w:val="18"/>
              </w:rPr>
              <w:t xml:space="preserve">$126.50</w:t>
            </w:r>
          </w:p>
        </w:tc>
      </w:tr>
    </w:tbl>
    <w:p>
      <w:pPr>
        <w:spacing w:after="120" w:before="180"/>
      </w:pPr>
      <w:r>
        <w:rPr>
          <w:sz w:val="19"/>
          <w:szCs w:val="19"/>
        </w:rPr>
        <w:t xml:space="preserve">App access — $22 per week (GST incl.), optional:   </w:t>
      </w:r>
      <w:r>
        <w:rPr>
          <w:b/>
          <w:bCs/>
          <w:sz w:val="19"/>
          <w:szCs w:val="19"/>
        </w:rPr>
        <w:t xml:space="preserve">☐ Included     ☐ Not included</w:t>
      </w:r>
    </w:p>
    <w:p>
      <w:pPr>
        <w:spacing w:after="140" w:before="280"/>
      </w:pPr>
      <w:r>
        <w:rPr>
          <w:sz w:val="19"/>
          <w:szCs w:val="19"/>
        </w:rPr>
        <w:t xml:space="preserve">My weekly payment amount will be $____________ starting _____ / _____ / _______ for a minimum of _____ weeks.</w:t>
      </w:r>
    </w:p>
    <w:p>
      <w:pPr>
        <w:spacing w:after="400"/>
      </w:pPr>
      <w:r>
        <w:rPr>
          <w:sz w:val="19"/>
          <w:szCs w:val="19"/>
        </w:rPr>
        <w:t xml:space="preserve">I understand that the above terms and conditions apply.</w:t>
      </w:r>
    </w:p>
    <w:p>
      <w:pPr>
        <w:spacing w:after="120"/>
      </w:pPr>
      <w:r>
        <w:rPr>
          <w:sz w:val="19"/>
          <w:szCs w:val="19"/>
        </w:rPr>
        <w:t xml:space="preserve">Client signature: __________________________________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2026-08-23T08:55:21.914Z</dcterms:created>
  <dcterms:modified xsi:type="dcterms:W3CDTF">2026-08-23T08:55:21.915Z</dcterms:modified>
</cp:coreProperties>
</file>

<file path=docProps/custom.xml><?xml version="1.0" encoding="utf-8"?>
<Properties xmlns="http://schemas.openxmlformats.org/officeDocument/2006/custom-properties" xmlns:vt="http://schemas.openxmlformats.org/officeDocument/2006/docPropsVTypes"/>
</file>