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60"/>
      </w:pPr>
      <w:r>
        <w:rPr>
          <w:i/>
          <w:iCs/>
          <w:color w:val="555555"/>
          <w:sz w:val="20"/>
          <w:szCs w:val="20"/>
        </w:rPr>
        <w:t xml:space="preserve">2-on-1 Training</w:t>
      </w:r>
    </w:p>
    <w:p>
      <w:pPr>
        <w:pBdr>
          <w:bottom w:val="single" w:color="BBBBBB" w:sz="6"/>
        </w:pBdr>
        <w:spacing w:after="100" w:before="100"/>
      </w:pPr>
    </w:p>
    <w:p>
      <w:pPr>
        <w:spacing w:after="140" w:before="28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40" w:before="280"/>
      </w:pPr>
      <w:r>
        <w:rPr>
          <w:b/>
          <w:bCs/>
          <w:sz w:val="22"/>
          <w:szCs w:val="22"/>
        </w:rPr>
        <w:t xml:space="preserve">TRAINING &amp; CANCELLATION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600"/>
      </w:tblGrid>
      <w:tr>
        <w:tc>
          <w:tcPr>
            <w:tcW w:type="dxa" w:w="2100"/>
            <w:shd w:fill="F2F2F2" w:val="clear"/>
            <w:tcMar>
              <w:top w:type="dxa" w:w="80"/>
              <w:left w:type="dxa" w:w="110"/>
              <w:bottom w:type="dxa" w:w="80"/>
              <w:right w:type="dxa" w:w="110"/>
            </w:tcMar>
          </w:tcPr>
          <w:p>
            <w:r>
              <w:rPr>
                <w:b/>
                <w:bCs/>
                <w:sz w:val="18"/>
                <w:szCs w:val="18"/>
              </w:rPr>
              <w:t xml:space="preserve">Policy</w:t>
            </w:r>
          </w:p>
        </w:tc>
        <w:tc>
          <w:tcPr>
            <w:tcW w:type="dxa" w:w="5300"/>
            <w:shd w:fill="F2F2F2" w:val="clear"/>
            <w:tcMar>
              <w:top w:type="dxa" w:w="80"/>
              <w:left w:type="dxa" w:w="110"/>
              <w:bottom w:type="dxa" w:w="80"/>
              <w:right w:type="dxa" w:w="110"/>
            </w:tcMar>
          </w:tcPr>
          <w:p>
            <w:pPr>
              <w:jc w:val="center"/>
            </w:pPr>
            <w:r>
              <w:rPr>
                <w:b/>
                <w:bCs/>
                <w:sz w:val="18"/>
                <w:szCs w:val="18"/>
              </w:rPr>
              <w:t xml:space="preserve">Terms</w:t>
            </w:r>
          </w:p>
        </w:tc>
        <w:tc>
          <w:tcPr>
            <w:tcW w:type="dxa" w:w="1600"/>
            <w:shd w:fill="F2F2F2" w:val="clear"/>
            <w:tcMar>
              <w:top w:type="dxa" w:w="80"/>
              <w:left w:type="dxa" w:w="110"/>
              <w:bottom w:type="dxa" w:w="80"/>
              <w:right w:type="dxa" w:w="110"/>
            </w:tcMar>
          </w:tcPr>
          <w:p>
            <w:pPr>
              <w:jc w:val="center"/>
            </w:pPr>
            <w:r>
              <w:rPr>
                <w:b/>
                <w:bCs/>
                <w:sz w:val="18"/>
                <w:szCs w:val="18"/>
              </w:rPr>
              <w:t xml:space="preserve">Initials</w:t>
            </w:r>
          </w:p>
        </w:tc>
      </w:tr>
      <w:tr>
        <w:tc>
          <w:tcPr>
            <w:tcW w:type="dxa" w:w="2100"/>
            <w:tcMar>
              <w:top w:type="dxa" w:w="80"/>
              <w:left w:type="dxa" w:w="110"/>
              <w:bottom w:type="dxa" w:w="80"/>
              <w:right w:type="dxa" w:w="110"/>
            </w:tcMar>
          </w:tcPr>
          <w:p>
            <w:r>
              <w:rPr>
                <w:sz w:val="18"/>
                <w:szCs w:val="18"/>
              </w:rPr>
              <w:t xml:space="preserve">Session cancellation</w:t>
            </w:r>
          </w:p>
        </w:tc>
        <w:tc>
          <w:tcPr>
            <w:tcW w:type="dxa" w:w="5300"/>
            <w:tcMar>
              <w:top w:type="dxa" w:w="80"/>
              <w:left w:type="dxa" w:w="110"/>
              <w:bottom w:type="dxa" w:w="80"/>
              <w:right w:type="dxa" w:w="110"/>
            </w:tcMar>
          </w:tcPr>
          <w:p>
            <w:pPr>
              <w:jc w:val="center"/>
            </w:pPr>
            <w:r>
              <w:rPr>
                <w:sz w:val="18"/>
                <w:szCs w:val="18"/>
              </w:rPr>
              <w:t xml:space="preserve">There is a 72-hour cancellation policy for all training sessions. Sessions cancelled with 72 hours' notice or more will be rescheduled where possible. Sessions cancelled within 72 hours of the booking will be forfeited.</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Direct debit cancellation</w:t>
            </w:r>
          </w:p>
        </w:tc>
        <w:tc>
          <w:tcPr>
            <w:tcW w:type="dxa" w:w="5300"/>
            <w:tcMar>
              <w:top w:type="dxa" w:w="80"/>
              <w:left w:type="dxa" w:w="110"/>
              <w:bottom w:type="dxa" w:w="80"/>
              <w:right w:type="dxa" w:w="110"/>
            </w:tcMar>
          </w:tcPr>
          <w:p>
            <w:pPr>
              <w:jc w:val="center"/>
            </w:pPr>
            <w:r>
              <w:rPr>
                <w:sz w:val="18"/>
                <w:szCs w:val="18"/>
              </w:rPr>
              <w:t xml:space="preserve">There is a 30-day cancellation policy for all direct debit agreements. Notice is required by email.</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Attendance of other participants</w:t>
            </w:r>
          </w:p>
        </w:tc>
        <w:tc>
          <w:tcPr>
            <w:tcW w:type="dxa" w:w="5300"/>
            <w:tcMar>
              <w:top w:type="dxa" w:w="80"/>
              <w:left w:type="dxa" w:w="110"/>
              <w:bottom w:type="dxa" w:w="80"/>
              <w:right w:type="dxa" w:w="110"/>
            </w:tcMar>
          </w:tcPr>
          <w:p>
            <w:pPr>
              <w:jc w:val="center"/>
            </w:pPr>
            <w:r>
              <w:rPr>
                <w:sz w:val="18"/>
                <w:szCs w:val="18"/>
              </w:rPr>
              <w:t xml:space="preserve">Your rate does not change if another participant is unable to attend. The session runs as scheduled for whoever attends, at the rate you have agreed. No adjustment is made in either direction.</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Change to group size</w:t>
            </w:r>
          </w:p>
        </w:tc>
        <w:tc>
          <w:tcPr>
            <w:tcW w:type="dxa" w:w="5300"/>
            <w:tcMar>
              <w:top w:type="dxa" w:w="80"/>
              <w:left w:type="dxa" w:w="110"/>
              <w:bottom w:type="dxa" w:w="80"/>
              <w:right w:type="dxa" w:w="110"/>
            </w:tcMar>
          </w:tcPr>
          <w:p>
            <w:pPr>
              <w:jc w:val="center"/>
            </w:pPr>
            <w:r>
              <w:rPr>
                <w:sz w:val="18"/>
                <w:szCs w:val="18"/>
              </w:rPr>
              <w:t xml:space="preserve">If a participant leaves permanently, remaining participants continue at their agreed rate for two weeks. After that period, the rate for the new group size applies.</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Separate agreements</w:t>
            </w:r>
          </w:p>
        </w:tc>
        <w:tc>
          <w:tcPr>
            <w:tcW w:type="dxa" w:w="5300"/>
            <w:tcMar>
              <w:top w:type="dxa" w:w="80"/>
              <w:left w:type="dxa" w:w="110"/>
              <w:bottom w:type="dxa" w:w="80"/>
              <w:right w:type="dxa" w:w="110"/>
            </w:tcMar>
          </w:tcPr>
          <w:p>
            <w:pPr>
              <w:jc w:val="center"/>
            </w:pPr>
            <w:r>
              <w:rPr>
                <w:sz w:val="18"/>
                <w:szCs w:val="18"/>
              </w:rPr>
              <w:t xml:space="preserve">Each participant holds their own agreement and their own payment arrangement. Participants are not jointly responsible for one another's fees.</w:t>
            </w:r>
          </w:p>
        </w:tc>
        <w:tc>
          <w:tcPr>
            <w:tcW w:type="dxa" w:w="1600"/>
            <w:tcMar>
              <w:top w:type="dxa" w:w="80"/>
              <w:left w:type="dxa" w:w="110"/>
              <w:bottom w:type="dxa" w:w="80"/>
              <w:right w:type="dxa" w:w="110"/>
            </w:tcMar>
          </w:tcPr>
          <w:p>
            <w:pPr>
              <w:jc w:val="center"/>
            </w:pPr>
            <w:r>
              <w:rPr>
                <w:sz w:val="18"/>
                <w:szCs w:val="18"/>
              </w:rPr>
              <w:t xml:space="preserve"/>
            </w:r>
          </w:p>
        </w:tc>
      </w:tr>
    </w:tbl>
    <w:p>
      <w:pPr>
        <w:spacing w:after="140" w:before="28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 Ezidebit transaction fees are charged in addition to the amounts agreed below and will appear on the debit.</w:t>
      </w:r>
    </w:p>
    <w:p>
      <w:pPr>
        <w:spacing w:after="120"/>
      </w:pPr>
      <w:r>
        <w:rPr>
          <w:sz w:val="19"/>
          <w:szCs w:val="19"/>
        </w:rPr>
        <w:t xml:space="preserve">Access to the Kinetic Hustl App is $22 per week (GST incl.) and is optional. Session rates differ depending on whether app access is held; both are shown below.</w:t>
      </w:r>
    </w:p>
    <w:p>
      <w:pPr>
        <w:spacing w:after="140" w:before="280"/>
      </w:pPr>
      <w:r>
        <w:rPr>
          <w:b/>
          <w:bCs/>
          <w:sz w:val="22"/>
          <w:szCs w:val="22"/>
        </w:rPr>
        <w:t xml:space="preserve">AGREEMENT</w:t>
      </w:r>
    </w:p>
    <w:p>
      <w:pPr>
        <w:spacing w:after="160"/>
      </w:pPr>
      <w:r>
        <w:rPr>
          <w:sz w:val="19"/>
          <w:szCs w:val="19"/>
        </w:rPr>
        <w:t xml:space="preserve">I ______________________________ have agreed to ______ weekly 45-minute 2-on-1 Training session(s)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F2F2F2" w:val="clear"/>
            <w:tcMar>
              <w:top w:type="dxa" w:w="80"/>
              <w:left w:type="dxa" w:w="110"/>
              <w:bottom w:type="dxa" w:w="80"/>
              <w:right w:type="dxa" w:w="110"/>
            </w:tcMar>
          </w:tcPr>
          <w:p>
            <w:r>
              <w:rPr>
                <w:b/>
                <w:bCs/>
                <w:sz w:val="18"/>
                <w:szCs w:val="18"/>
              </w:rPr>
              <w:t xml:space="preserve"/>
            </w:r>
          </w:p>
        </w:tc>
        <w:tc>
          <w:tcPr>
            <w:tcW w:type="dxa" w:w="2800"/>
            <w:shd w:fill="F2F2F2" w:val="clear"/>
            <w:tcMar>
              <w:top w:type="dxa" w:w="80"/>
              <w:left w:type="dxa" w:w="110"/>
              <w:bottom w:type="dxa" w:w="80"/>
              <w:right w:type="dxa" w:w="110"/>
            </w:tcMar>
          </w:tcPr>
          <w:p>
            <w:pPr>
              <w:jc w:val="center"/>
            </w:pPr>
            <w:r>
              <w:rPr>
                <w:b/>
                <w:bCs/>
                <w:sz w:val="18"/>
                <w:szCs w:val="18"/>
              </w:rPr>
              <w:t xml:space="preserve">With app access</w:t>
            </w:r>
          </w:p>
        </w:tc>
        <w:tc>
          <w:tcPr>
            <w:tcW w:type="dxa" w:w="2800"/>
            <w:shd w:fill="F2F2F2" w:val="clear"/>
            <w:tcMar>
              <w:top w:type="dxa" w:w="80"/>
              <w:left w:type="dxa" w:w="110"/>
              <w:bottom w:type="dxa" w:w="80"/>
              <w:right w:type="dxa" w:w="110"/>
            </w:tcMar>
          </w:tcPr>
          <w:p>
            <w:pPr>
              <w:jc w:val="center"/>
            </w:pPr>
            <w:r>
              <w:rPr>
                <w:b/>
                <w:bCs/>
                <w:sz w:val="18"/>
                <w:szCs w:val="18"/>
              </w:rPr>
              <w:t xml:space="preserve">Without app access</w:t>
            </w:r>
          </w:p>
        </w:tc>
      </w:tr>
      <w:tr>
        <w:tc>
          <w:tcPr>
            <w:tcW w:type="dxa" w:w="3400"/>
            <w:tcMar>
              <w:top w:type="dxa" w:w="80"/>
              <w:left w:type="dxa" w:w="110"/>
              <w:bottom w:type="dxa" w:w="80"/>
              <w:right w:type="dxa" w:w="110"/>
            </w:tcMar>
          </w:tcPr>
          <w:p>
            <w:r>
              <w:rPr>
                <w:sz w:val="18"/>
                <w:szCs w:val="18"/>
              </w:rPr>
              <w:t xml:space="preserve">2-on-1 set rate</w:t>
            </w:r>
          </w:p>
        </w:tc>
        <w:tc>
          <w:tcPr>
            <w:tcW w:type="dxa" w:w="2800"/>
            <w:tcMar>
              <w:top w:type="dxa" w:w="80"/>
              <w:left w:type="dxa" w:w="110"/>
              <w:bottom w:type="dxa" w:w="80"/>
              <w:right w:type="dxa" w:w="110"/>
            </w:tcMar>
          </w:tcPr>
          <w:p>
            <w:pPr>
              <w:jc w:val="center"/>
            </w:pPr>
            <w:r>
              <w:rPr>
                <w:sz w:val="18"/>
                <w:szCs w:val="18"/>
              </w:rPr>
              <w:t xml:space="preserve">$66</w:t>
            </w:r>
          </w:p>
        </w:tc>
        <w:tc>
          <w:tcPr>
            <w:tcW w:type="dxa" w:w="2800"/>
            <w:tcMar>
              <w:top w:type="dxa" w:w="80"/>
              <w:left w:type="dxa" w:w="110"/>
              <w:bottom w:type="dxa" w:w="80"/>
              <w:right w:type="dxa" w:w="110"/>
            </w:tcMar>
          </w:tcPr>
          <w:p>
            <w:pPr>
              <w:jc w:val="center"/>
            </w:pPr>
            <w:r>
              <w:rPr>
                <w:sz w:val="18"/>
                <w:szCs w:val="18"/>
              </w:rPr>
              <w:t xml:space="preserve">$88</w:t>
            </w:r>
          </w:p>
        </w:tc>
      </w:tr>
    </w:tbl>
    <w:p>
      <w:pPr>
        <w:spacing w:after="120" w:before="180"/>
      </w:pPr>
      <w:r>
        <w:rPr>
          <w:sz w:val="19"/>
          <w:szCs w:val="19"/>
        </w:rPr>
        <w:t xml:space="preserve">App access — $22 per week (GST incl.), optional:   </w:t>
      </w:r>
      <w:r>
        <w:rPr>
          <w:b/>
          <w:bCs/>
          <w:sz w:val="19"/>
          <w:szCs w:val="19"/>
        </w:rPr>
        <w:t xml:space="preserve">☐ Included     ☐ Not included</w:t>
      </w:r>
    </w:p>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F2F2F2" w:val="clear"/>
            <w:tcMar>
              <w:top w:type="dxa" w:w="80"/>
              <w:left w:type="dxa" w:w="110"/>
              <w:bottom w:type="dxa" w:w="80"/>
              <w:right w:type="dxa" w:w="110"/>
            </w:tcMar>
          </w:tcPr>
          <w:p>
            <w:r>
              <w:rPr>
                <w:b/>
                <w:bCs/>
                <w:sz w:val="18"/>
                <w:szCs w:val="18"/>
              </w:rPr>
              <w:t xml:space="preserve">Additional session</w:t>
            </w:r>
          </w:p>
        </w:tc>
        <w:tc>
          <w:tcPr>
            <w:tcW w:type="dxa" w:w="2800"/>
            <w:shd w:fill="F2F2F2" w:val="clear"/>
            <w:tcMar>
              <w:top w:type="dxa" w:w="80"/>
              <w:left w:type="dxa" w:w="110"/>
              <w:bottom w:type="dxa" w:w="80"/>
              <w:right w:type="dxa" w:w="110"/>
            </w:tcMar>
          </w:tcPr>
          <w:p>
            <w:pPr>
              <w:jc w:val="center"/>
            </w:pPr>
            <w:r>
              <w:rPr>
                <w:b/>
                <w:bCs/>
                <w:sz w:val="18"/>
                <w:szCs w:val="18"/>
              </w:rPr>
              <w:t xml:space="preserve">With app access</w:t>
            </w:r>
          </w:p>
        </w:tc>
        <w:tc>
          <w:tcPr>
            <w:tcW w:type="dxa" w:w="2800"/>
            <w:shd w:fill="F2F2F2" w:val="clear"/>
            <w:tcMar>
              <w:top w:type="dxa" w:w="80"/>
              <w:left w:type="dxa" w:w="110"/>
              <w:bottom w:type="dxa" w:w="80"/>
              <w:right w:type="dxa" w:w="110"/>
            </w:tcMar>
          </w:tcPr>
          <w:p>
            <w:pPr>
              <w:jc w:val="center"/>
            </w:pPr>
            <w:r>
              <w:rPr>
                <w:b/>
                <w:bCs/>
                <w:sz w:val="18"/>
                <w:szCs w:val="18"/>
              </w:rPr>
              <w:t xml:space="preserve">Without app access</w:t>
            </w:r>
          </w:p>
        </w:tc>
      </w:tr>
      <w:tr>
        <w:tc>
          <w:tcPr>
            <w:tcW w:type="dxa" w:w="3400"/>
            <w:tcMar>
              <w:top w:type="dxa" w:w="80"/>
              <w:left w:type="dxa" w:w="110"/>
              <w:bottom w:type="dxa" w:w="80"/>
              <w:right w:type="dxa" w:w="110"/>
            </w:tcMar>
          </w:tcPr>
          <w:p>
            <w:r>
              <w:rPr>
                <w:sz w:val="18"/>
                <w:szCs w:val="18"/>
              </w:rPr>
              <w:t xml:space="preserve">2-on-1</w:t>
            </w:r>
          </w:p>
        </w:tc>
        <w:tc>
          <w:tcPr>
            <w:tcW w:type="dxa" w:w="2800"/>
            <w:tcMar>
              <w:top w:type="dxa" w:w="80"/>
              <w:left w:type="dxa" w:w="110"/>
              <w:bottom w:type="dxa" w:w="80"/>
              <w:right w:type="dxa" w:w="110"/>
            </w:tcMar>
          </w:tcPr>
          <w:p>
            <w:pPr>
              <w:jc w:val="center"/>
            </w:pPr>
            <w:r>
              <w:rPr>
                <w:sz w:val="18"/>
                <w:szCs w:val="18"/>
              </w:rPr>
              <w:t xml:space="preserve">$66</w:t>
            </w:r>
          </w:p>
        </w:tc>
        <w:tc>
          <w:tcPr>
            <w:tcW w:type="dxa" w:w="2800"/>
            <w:tcMar>
              <w:top w:type="dxa" w:w="80"/>
              <w:left w:type="dxa" w:w="110"/>
              <w:bottom w:type="dxa" w:w="80"/>
              <w:right w:type="dxa" w:w="110"/>
            </w:tcMar>
          </w:tcPr>
          <w:p>
            <w:pPr>
              <w:jc w:val="center"/>
            </w:pPr>
            <w:r>
              <w:rPr>
                <w:sz w:val="18"/>
                <w:szCs w:val="18"/>
              </w:rPr>
              <w:t xml:space="preserve">$88</w:t>
            </w:r>
          </w:p>
        </w:tc>
      </w:tr>
      <w:tr>
        <w:tc>
          <w:tcPr>
            <w:tcW w:type="dxa" w:w="3400"/>
            <w:tcMar>
              <w:top w:type="dxa" w:w="80"/>
              <w:left w:type="dxa" w:w="110"/>
              <w:bottom w:type="dxa" w:w="80"/>
              <w:right w:type="dxa" w:w="110"/>
            </w:tcMar>
          </w:tcPr>
          <w:p>
            <w:r>
              <w:rPr>
                <w:sz w:val="18"/>
                <w:szCs w:val="18"/>
              </w:rPr>
              <w:t xml:space="preserve">1-on-1</w:t>
            </w:r>
          </w:p>
        </w:tc>
        <w:tc>
          <w:tcPr>
            <w:tcW w:type="dxa" w:w="2800"/>
            <w:tcMar>
              <w:top w:type="dxa" w:w="80"/>
              <w:left w:type="dxa" w:w="110"/>
              <w:bottom w:type="dxa" w:w="80"/>
              <w:right w:type="dxa" w:w="110"/>
            </w:tcMar>
          </w:tcPr>
          <w:p>
            <w:pPr>
              <w:jc w:val="center"/>
            </w:pPr>
            <w:r>
              <w:rPr>
                <w:sz w:val="18"/>
                <w:szCs w:val="18"/>
              </w:rPr>
              <w:t xml:space="preserve">$88</w:t>
            </w:r>
          </w:p>
        </w:tc>
        <w:tc>
          <w:tcPr>
            <w:tcW w:type="dxa" w:w="2800"/>
            <w:tcMar>
              <w:top w:type="dxa" w:w="80"/>
              <w:left w:type="dxa" w:w="110"/>
              <w:bottom w:type="dxa" w:w="80"/>
              <w:right w:type="dxa" w:w="110"/>
            </w:tcMar>
          </w:tcPr>
          <w:p>
            <w:pPr>
              <w:jc w:val="center"/>
            </w:pPr>
            <w:r>
              <w:rPr>
                <w:sz w:val="18"/>
                <w:szCs w:val="18"/>
              </w:rPr>
              <w:t xml:space="preserve">$110</w:t>
            </w:r>
          </w:p>
        </w:tc>
      </w:tr>
    </w:tbl>
    <w:p>
      <w:pPr>
        <w:spacing w:after="140" w:before="280"/>
      </w:pPr>
      <w:r>
        <w:rPr>
          <w:sz w:val="19"/>
          <w:szCs w:val="19"/>
        </w:rPr>
        <w:t xml:space="preserve">My weekly payment amount will be $____________ starting _____ / _____ / _______ for a minimum of _____ weeks.</w:t>
      </w:r>
    </w:p>
    <w:p>
      <w:pPr>
        <w:spacing w:after="400"/>
      </w:pPr>
      <w:r>
        <w:rPr>
          <w:sz w:val="19"/>
          <w:szCs w:val="19"/>
        </w:rPr>
        <w:t xml:space="preserve">I understand that the above terms and conditions apply.</w:t>
      </w:r>
    </w:p>
    <w:p>
      <w:pPr>
        <w:spacing w:after="120"/>
      </w:pPr>
      <w:r>
        <w:rPr>
          <w:sz w:val="19"/>
          <w:szCs w:val="19"/>
        </w:rPr>
        <w:t xml:space="preserve">Client signature: __________________________________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2026-08-23T08:55:21.933Z</dcterms:created>
  <dcterms:modified xsi:type="dcterms:W3CDTF">2026-08-23T08:55:21.933Z</dcterms:modified>
</cp:coreProperties>
</file>

<file path=docProps/custom.xml><?xml version="1.0" encoding="utf-8"?>
<Properties xmlns="http://schemas.openxmlformats.org/officeDocument/2006/custom-properties" xmlns:vt="http://schemas.openxmlformats.org/officeDocument/2006/docPropsVTypes"/>
</file>