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Group Training — maximum three participants</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72-hour cancellation policy for all training sessions. Sessions cancelled with 72 hours' notice or more will be rescheduled where possible. Sessions cancelled within 72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Attendance of other participants</w:t>
            </w:r>
          </w:p>
        </w:tc>
        <w:tc>
          <w:tcPr>
            <w:tcW w:type="dxa" w:w="5300"/>
            <w:tcMar>
              <w:top w:type="dxa" w:w="80"/>
              <w:left w:type="dxa" w:w="110"/>
              <w:bottom w:type="dxa" w:w="80"/>
              <w:right w:type="dxa" w:w="110"/>
            </w:tcMar>
          </w:tcPr>
          <w:p>
            <w:pPr>
              <w:jc w:val="center"/>
            </w:pPr>
            <w:r>
              <w:rPr>
                <w:sz w:val="18"/>
                <w:szCs w:val="18"/>
              </w:rPr>
              <w:t xml:space="preserve">Your rate does not change if another participant is unable to attend. The session runs as scheduled for whoever attends, at the rate you have agreed. No adjustment is made in either direction.</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Change to group size</w:t>
            </w:r>
          </w:p>
        </w:tc>
        <w:tc>
          <w:tcPr>
            <w:tcW w:type="dxa" w:w="5300"/>
            <w:tcMar>
              <w:top w:type="dxa" w:w="80"/>
              <w:left w:type="dxa" w:w="110"/>
              <w:bottom w:type="dxa" w:w="80"/>
              <w:right w:type="dxa" w:w="110"/>
            </w:tcMar>
          </w:tcPr>
          <w:p>
            <w:pPr>
              <w:jc w:val="center"/>
            </w:pPr>
            <w:r>
              <w:rPr>
                <w:sz w:val="18"/>
                <w:szCs w:val="18"/>
              </w:rPr>
              <w:t xml:space="preserve">If a participant leaves permanently, remaining participants continue at their agreed rate for two weeks. After that period, the rate for the new group size applies.</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Separate agreements</w:t>
            </w:r>
          </w:p>
        </w:tc>
        <w:tc>
          <w:tcPr>
            <w:tcW w:type="dxa" w:w="5300"/>
            <w:tcMar>
              <w:top w:type="dxa" w:w="80"/>
              <w:left w:type="dxa" w:w="110"/>
              <w:bottom w:type="dxa" w:w="80"/>
              <w:right w:type="dxa" w:w="110"/>
            </w:tcMar>
          </w:tcPr>
          <w:p>
            <w:pPr>
              <w:jc w:val="center"/>
            </w:pPr>
            <w:r>
              <w:rPr>
                <w:sz w:val="18"/>
                <w:szCs w:val="18"/>
              </w:rPr>
              <w:t xml:space="preserve">Each participant holds their own agreement and their own payment arrangement. Participants are not jointly responsible for one another's fees.</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Access to the Kinetic Hustl App is $22 per week (GST incl.) and is optional. Session rates differ depending on whether app access is held; both are shown below.</w:t>
      </w:r>
    </w:p>
    <w:p>
      <w:pPr>
        <w:spacing w:after="140" w:before="280"/>
      </w:pPr>
      <w:r>
        <w:rPr>
          <w:b/>
          <w:bCs/>
          <w:sz w:val="22"/>
          <w:szCs w:val="22"/>
        </w:rPr>
        <w:t xml:space="preserve">AGREEMENT</w:t>
      </w:r>
    </w:p>
    <w:p>
      <w:pPr>
        <w:spacing w:after="160"/>
      </w:pPr>
      <w:r>
        <w:rPr>
          <w:sz w:val="19"/>
          <w:szCs w:val="19"/>
        </w:rPr>
        <w:t xml:space="preserve">I ______________________________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3-on-1 set rate</w:t>
            </w:r>
          </w:p>
        </w:tc>
        <w:tc>
          <w:tcPr>
            <w:tcW w:type="dxa" w:w="2800"/>
            <w:tcMar>
              <w:top w:type="dxa" w:w="80"/>
              <w:left w:type="dxa" w:w="110"/>
              <w:bottom w:type="dxa" w:w="80"/>
              <w:right w:type="dxa" w:w="110"/>
            </w:tcMar>
          </w:tcPr>
          <w:p>
            <w:pPr>
              <w:jc w:val="center"/>
            </w:pPr>
            <w:r>
              <w:rPr>
                <w:sz w:val="18"/>
                <w:szCs w:val="18"/>
              </w:rPr>
              <w:t xml:space="preserve">$55</w:t>
            </w:r>
          </w:p>
        </w:tc>
        <w:tc>
          <w:tcPr>
            <w:tcW w:type="dxa" w:w="2800"/>
            <w:tcMar>
              <w:top w:type="dxa" w:w="80"/>
              <w:left w:type="dxa" w:w="110"/>
              <w:bottom w:type="dxa" w:w="80"/>
              <w:right w:type="dxa" w:w="110"/>
            </w:tcMar>
          </w:tcPr>
          <w:p>
            <w:pPr>
              <w:jc w:val="center"/>
            </w:pPr>
            <w:r>
              <w:rPr>
                <w:sz w:val="18"/>
                <w:szCs w:val="18"/>
              </w:rPr>
              <w:t xml:space="preserve">$77</w:t>
            </w:r>
          </w:p>
        </w:tc>
      </w:tr>
    </w:tbl>
    <w:p>
      <w:pPr>
        <w:spacing w:after="120" w:before="180"/>
      </w:pPr>
      <w:r>
        <w:rPr>
          <w:sz w:val="19"/>
          <w:szCs w:val="19"/>
        </w:rPr>
        <w:t xml:space="preserve">App access — $22 per week (GST incl.), optional:   </w:t>
      </w:r>
      <w:r>
        <w:rPr>
          <w:b/>
          <w:bCs/>
          <w:sz w:val="19"/>
          <w:szCs w:val="19"/>
        </w:rPr>
        <w:t xml:space="preserve">☐ Included     ☐ Not included</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Additional session</w:t>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3-on-1</w:t>
            </w:r>
          </w:p>
        </w:tc>
        <w:tc>
          <w:tcPr>
            <w:tcW w:type="dxa" w:w="2800"/>
            <w:tcMar>
              <w:top w:type="dxa" w:w="80"/>
              <w:left w:type="dxa" w:w="110"/>
              <w:bottom w:type="dxa" w:w="80"/>
              <w:right w:type="dxa" w:w="110"/>
            </w:tcMar>
          </w:tcPr>
          <w:p>
            <w:pPr>
              <w:jc w:val="center"/>
            </w:pPr>
            <w:r>
              <w:rPr>
                <w:sz w:val="18"/>
                <w:szCs w:val="18"/>
              </w:rPr>
              <w:t xml:space="preserve">$55</w:t>
            </w:r>
          </w:p>
        </w:tc>
        <w:tc>
          <w:tcPr>
            <w:tcW w:type="dxa" w:w="2800"/>
            <w:tcMar>
              <w:top w:type="dxa" w:w="80"/>
              <w:left w:type="dxa" w:w="110"/>
              <w:bottom w:type="dxa" w:w="80"/>
              <w:right w:type="dxa" w:w="110"/>
            </w:tcMar>
          </w:tcPr>
          <w:p>
            <w:pPr>
              <w:jc w:val="center"/>
            </w:pPr>
            <w:r>
              <w:rPr>
                <w:sz w:val="18"/>
                <w:szCs w:val="18"/>
              </w:rPr>
              <w:t xml:space="preserve">$77</w:t>
            </w:r>
          </w:p>
        </w:tc>
      </w:tr>
      <w:tr>
        <w:tc>
          <w:tcPr>
            <w:tcW w:type="dxa" w:w="3400"/>
            <w:tcMar>
              <w:top w:type="dxa" w:w="80"/>
              <w:left w:type="dxa" w:w="110"/>
              <w:bottom w:type="dxa" w:w="80"/>
              <w:right w:type="dxa" w:w="110"/>
            </w:tcMar>
          </w:tcPr>
          <w:p>
            <w:r>
              <w:rPr>
                <w:sz w:val="18"/>
                <w:szCs w:val="18"/>
              </w:rPr>
              <w:t xml:space="preserve">2-on-1</w:t>
            </w:r>
          </w:p>
        </w:tc>
        <w:tc>
          <w:tcPr>
            <w:tcW w:type="dxa" w:w="2800"/>
            <w:tcMar>
              <w:top w:type="dxa" w:w="80"/>
              <w:left w:type="dxa" w:w="110"/>
              <w:bottom w:type="dxa" w:w="80"/>
              <w:right w:type="dxa" w:w="110"/>
            </w:tcMar>
          </w:tcPr>
          <w:p>
            <w:pPr>
              <w:jc w:val="center"/>
            </w:pPr>
            <w:r>
              <w:rPr>
                <w:sz w:val="18"/>
                <w:szCs w:val="18"/>
              </w:rPr>
              <w:t xml:space="preserve">$66</w:t>
            </w:r>
          </w:p>
        </w:tc>
        <w:tc>
          <w:tcPr>
            <w:tcW w:type="dxa" w:w="2800"/>
            <w:tcMar>
              <w:top w:type="dxa" w:w="80"/>
              <w:left w:type="dxa" w:w="110"/>
              <w:bottom w:type="dxa" w:w="80"/>
              <w:right w:type="dxa" w:w="110"/>
            </w:tcMar>
          </w:tcPr>
          <w:p>
            <w:pPr>
              <w:jc w:val="center"/>
            </w:pPr>
            <w:r>
              <w:rPr>
                <w:sz w:val="18"/>
                <w:szCs w:val="18"/>
              </w:rPr>
              <w:t xml:space="preserve">$88</w:t>
            </w:r>
          </w:p>
        </w:tc>
      </w:tr>
      <w:tr>
        <w:tc>
          <w:tcPr>
            <w:tcW w:type="dxa" w:w="3400"/>
            <w:tcMar>
              <w:top w:type="dxa" w:w="80"/>
              <w:left w:type="dxa" w:w="110"/>
              <w:bottom w:type="dxa" w:w="80"/>
              <w:right w:type="dxa" w:w="110"/>
            </w:tcMar>
          </w:tcPr>
          <w:p>
            <w:r>
              <w:rPr>
                <w:sz w:val="18"/>
                <w:szCs w:val="18"/>
              </w:rPr>
              <w:t xml:space="preserve">1-on-1</w:t>
            </w:r>
          </w:p>
        </w:tc>
        <w:tc>
          <w:tcPr>
            <w:tcW w:type="dxa" w:w="2800"/>
            <w:tcMar>
              <w:top w:type="dxa" w:w="80"/>
              <w:left w:type="dxa" w:w="110"/>
              <w:bottom w:type="dxa" w:w="80"/>
              <w:right w:type="dxa" w:w="110"/>
            </w:tcMar>
          </w:tcPr>
          <w:p>
            <w:pPr>
              <w:jc w:val="center"/>
            </w:pPr>
            <w:r>
              <w:rPr>
                <w:sz w:val="18"/>
                <w:szCs w:val="18"/>
              </w:rPr>
              <w:t xml:space="preserve">$88</w:t>
            </w:r>
          </w:p>
        </w:tc>
        <w:tc>
          <w:tcPr>
            <w:tcW w:type="dxa" w:w="2800"/>
            <w:tcMar>
              <w:top w:type="dxa" w:w="80"/>
              <w:left w:type="dxa" w:w="110"/>
              <w:bottom w:type="dxa" w:w="80"/>
              <w:right w:type="dxa" w:w="110"/>
            </w:tcMar>
          </w:tcPr>
          <w:p>
            <w:pPr>
              <w:jc w:val="center"/>
            </w:pPr>
            <w:r>
              <w:rPr>
                <w:sz w:val="18"/>
                <w:szCs w:val="18"/>
              </w:rPr>
              <w:t xml:space="preserve">$110</w:t>
            </w:r>
          </w:p>
        </w:tc>
      </w:tr>
    </w:tbl>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2026-08-23T08:55:21.944Z</dcterms:created>
  <dcterms:modified xsi:type="dcterms:W3CDTF">2026-08-23T08:55:21.944Z</dcterms:modified>
</cp:coreProperties>
</file>

<file path=docProps/custom.xml><?xml version="1.0" encoding="utf-8"?>
<Properties xmlns="http://schemas.openxmlformats.org/officeDocument/2006/custom-properties" xmlns:vt="http://schemas.openxmlformats.org/officeDocument/2006/docPropsVTypes"/>
</file>