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gives notice or leaves, the Trainer will tell you as soon as they know and confirm in writing the rate that would apply to the new group size. You will have at least two weeks' notice before any new rate takes effect, and the Trainer will use that time to look for a replacement. Your rate does not change unless you agree to the new rate in writing. If you would rather not continue at the new rate, you may end this agreement at that point with no further notice period and no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2026-09-25T03:57:01.808Z</dcterms:created>
  <dcterms:modified xsi:type="dcterms:W3CDTF">2026-09-25T03:57:01.808Z</dcterms:modified>
</cp:coreProperties>
</file>

<file path=docProps/custom.xml><?xml version="1.0" encoding="utf-8"?>
<Properties xmlns="http://schemas.openxmlformats.org/officeDocument/2006/custom-properties" xmlns:vt="http://schemas.openxmlformats.org/officeDocument/2006/docPropsVTypes"/>
</file>