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Online Coaching</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Online coaching is $44 per week (GST incl.) and includes personalised programming, progress tracking and message support through the Kinetic Hustl App. It does not include in-person training sessions; these can be booked separately at the casual rate below.</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Online Coaching at $__________ per week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Online coaching</w:t>
            </w:r>
          </w:p>
        </w:tc>
        <w:tc>
          <w:tcPr>
            <w:tcW w:type="dxa" w:w="4000"/>
            <w:tcMar>
              <w:top w:type="dxa" w:w="90"/>
              <w:left w:type="dxa" w:w="120"/>
              <w:bottom w:type="dxa" w:w="90"/>
              <w:right w:type="dxa" w:w="120"/>
            </w:tcMar>
          </w:tcPr>
          <w:p>
            <w:pPr>
              <w:jc w:val="center"/>
            </w:pPr>
            <w:r>
              <w:rPr>
                <w:b w:val="false"/>
                <w:bCs w:val="false"/>
                <w:sz w:val="18"/>
                <w:szCs w:val="18"/>
              </w:rPr>
              <w:t xml:space="preserve">$44 per week</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45-minute Personal Training session</w:t>
            </w:r>
          </w:p>
        </w:tc>
        <w:tc>
          <w:tcPr>
            <w:tcW w:type="dxa" w:w="4000"/>
            <w:tcMar>
              <w:top w:type="dxa" w:w="90"/>
              <w:left w:type="dxa" w:w="120"/>
              <w:bottom w:type="dxa" w:w="90"/>
              <w:right w:type="dxa" w:w="120"/>
            </w:tcMar>
          </w:tcPr>
          <w:p>
            <w:pPr>
              <w:jc w:val="center"/>
            </w:pPr>
            <w:r>
              <w:rPr>
                <w:b w:val="false"/>
                <w:bCs w:val="false"/>
                <w:sz w:val="18"/>
                <w:szCs w:val="18"/>
              </w:rPr>
              <w:t xml:space="preserve">$121</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2026-09-25T03:57:01.857Z</dcterms:created>
  <dcterms:modified xsi:type="dcterms:W3CDTF">2026-09-25T03:57:01.857Z</dcterms:modified>
</cp:coreProperties>
</file>

<file path=docProps/custom.xml><?xml version="1.0" encoding="utf-8"?>
<Properties xmlns="http://schemas.openxmlformats.org/officeDocument/2006/custom-properties" xmlns:vt="http://schemas.openxmlformats.org/officeDocument/2006/docPropsVTypes"/>
</file>