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2-on-1 Training — maximum two participants  ·  Without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Attendance of other participants</w:t>
      </w:r>
    </w:p>
    <w:p>
      <w:pPr>
        <w:spacing w:after="70"/>
      </w:pPr>
      <w:r>
        <w:rPr>
          <w:sz w:val="18"/>
          <w:szCs w:val="18"/>
        </w:rPr>
        <w:t xml:space="preserve">Your rate does not change if another participant is unable to attend. The session runs as scheduled for whoever attends, at the rate you have agreed. No adjustment is made in either direction.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Change to group size</w:t>
      </w:r>
    </w:p>
    <w:p>
      <w:pPr>
        <w:spacing w:after="70"/>
      </w:pPr>
      <w:r>
        <w:rPr>
          <w:sz w:val="18"/>
          <w:szCs w:val="18"/>
        </w:rPr>
        <w:t xml:space="preserve">If a participant gives notice or leaves, the Trainer will tell you as soon as they know and confirm in writing the rate that would apply to the new group size. You will have at least two weeks' notice before any new rate takes effect, and the Trainer will use that time to look for a replacement. Your rate does not change unless you agree to the new rate in writing. If you would rather not continue at the new rate, you may end this agreement at that point with no further notice period and no fee.</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Separate agreements</w:t>
      </w:r>
    </w:p>
    <w:p>
      <w:pPr>
        <w:spacing w:after="70"/>
      </w:pPr>
      <w:r>
        <w:rPr>
          <w:sz w:val="18"/>
          <w:szCs w:val="18"/>
        </w:rPr>
        <w:t xml:space="preserve">Each participant holds their own agreement and their own payment arrangement. Participants are not jointly responsible for one another's fees.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does not include app access or online programming. If you would like to add it, speak with Karl and a separate agreement will apply.</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my own records.</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weekly 45-minute 2-on-1 Training session(s)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 per person, per session</w:t>
            </w:r>
          </w:p>
        </w:tc>
      </w:tr>
      <w:tr>
        <w:tc>
          <w:tcPr>
            <w:tcW w:type="dxa" w:w="5000"/>
            <w:tcMar>
              <w:top w:type="dxa" w:w="90"/>
              <w:left w:type="dxa" w:w="120"/>
              <w:bottom w:type="dxa" w:w="90"/>
              <w:right w:type="dxa" w:w="120"/>
            </w:tcMar>
          </w:tcPr>
          <w:p>
            <w:r>
              <w:rPr>
                <w:b w:val="false"/>
                <w:bCs w:val="false"/>
                <w:sz w:val="18"/>
                <w:szCs w:val="18"/>
              </w:rPr>
              <w:t xml:space="preserve">2-on-1 set rate</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bl>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Additional session</w:t>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2-on-1</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r>
        <w:tc>
          <w:tcPr>
            <w:tcW w:type="dxa" w:w="5000"/>
            <w:tcMar>
              <w:top w:type="dxa" w:w="90"/>
              <w:left w:type="dxa" w:w="120"/>
              <w:bottom w:type="dxa" w:w="90"/>
              <w:right w:type="dxa" w:w="120"/>
            </w:tcMar>
          </w:tcPr>
          <w:p>
            <w:r>
              <w:rPr>
                <w:b w:val="false"/>
                <w:bCs w:val="false"/>
                <w:sz w:val="18"/>
                <w:szCs w:val="18"/>
              </w:rPr>
              <w:t xml:space="preserve">1-on-1</w:t>
            </w:r>
          </w:p>
        </w:tc>
        <w:tc>
          <w:tcPr>
            <w:tcW w:type="dxa" w:w="4000"/>
            <w:tcMar>
              <w:top w:type="dxa" w:w="90"/>
              <w:left w:type="dxa" w:w="120"/>
              <w:bottom w:type="dxa" w:w="90"/>
              <w:right w:type="dxa" w:w="120"/>
            </w:tcMar>
          </w:tcPr>
          <w:p>
            <w:pPr>
              <w:jc w:val="center"/>
            </w:pPr>
            <w:r>
              <w:rPr>
                <w:b w:val="false"/>
                <w:bCs w:val="false"/>
                <w:sz w:val="18"/>
                <w:szCs w:val="18"/>
              </w:rPr>
              <w:t xml:space="preserve">$110</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2026-10-10T07:39:58.740Z</dcterms:created>
  <dcterms:modified xsi:type="dcterms:W3CDTF">2026-10-10T07:39:58.740Z</dcterms:modified>
</cp:coreProperties>
</file>

<file path=docProps/custom.xml><?xml version="1.0" encoding="utf-8"?>
<Properties xmlns="http://schemas.openxmlformats.org/officeDocument/2006/custom-properties" xmlns:vt="http://schemas.openxmlformats.org/officeDocument/2006/docPropsVTypes"/>
</file>