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Online Coaching</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Online coaching is $44 per week (GST incl.) and includes personalised programming, progress tracking and message support through the Kinetic Hustl App. It does not include in-person training sessions; these can be booked separately at the casual rate below.</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Online Coaching at $__________ per week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Online coaching</w:t>
            </w:r>
          </w:p>
        </w:tc>
        <w:tc>
          <w:tcPr>
            <w:tcW w:type="dxa" w:w="4000"/>
            <w:tcMar>
              <w:top w:type="dxa" w:w="90"/>
              <w:left w:type="dxa" w:w="120"/>
              <w:bottom w:type="dxa" w:w="90"/>
              <w:right w:type="dxa" w:w="120"/>
            </w:tcMar>
          </w:tcPr>
          <w:p>
            <w:pPr>
              <w:jc w:val="center"/>
            </w:pPr>
            <w:r>
              <w:rPr>
                <w:b w:val="false"/>
                <w:bCs w:val="false"/>
                <w:sz w:val="18"/>
                <w:szCs w:val="18"/>
              </w:rPr>
              <w:t xml:space="preserve">$44 per week</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45-minute Personal Training session</w:t>
            </w:r>
          </w:p>
        </w:tc>
        <w:tc>
          <w:tcPr>
            <w:tcW w:type="dxa" w:w="4000"/>
            <w:tcMar>
              <w:top w:type="dxa" w:w="90"/>
              <w:left w:type="dxa" w:w="120"/>
              <w:bottom w:type="dxa" w:w="90"/>
              <w:right w:type="dxa" w:w="120"/>
            </w:tcMar>
          </w:tcPr>
          <w:p>
            <w:pPr>
              <w:jc w:val="center"/>
            </w:pPr>
            <w:r>
              <w:rPr>
                <w:b w:val="false"/>
                <w:bCs w:val="false"/>
                <w:sz w:val="18"/>
                <w:szCs w:val="18"/>
              </w:rPr>
              <w:t xml:space="preserve">$121</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2026-09-25T04:20:40.048Z</dcterms:created>
  <dcterms:modified xsi:type="dcterms:W3CDTF">2026-09-25T04:20:40.048Z</dcterms:modified>
</cp:coreProperties>
</file>

<file path=docProps/custom.xml><?xml version="1.0" encoding="utf-8"?>
<Properties xmlns="http://schemas.openxmlformats.org/officeDocument/2006/custom-properties" xmlns:vt="http://schemas.openxmlformats.org/officeDocument/2006/docPropsVTypes"/>
</file>