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Flare-ups of a disclosed condition</w:t>
      </w:r>
    </w:p>
    <w:p>
      <w:pPr>
        <w:spacing w:after="70"/>
      </w:pPr>
      <w:r>
        <w:rPr>
          <w:sz w:val="18"/>
          <w:szCs w:val="18"/>
        </w:rPr>
        <w:t xml:space="preserve">If you miss a session because of a flare-up of a condition you disclosed in your health screening, that session is credited rather than forfeited, even inside 24 hours. This applies up to three times in any twelve-month period. Beyond that the standard policy above applies, though I will always use my discretion where circumstances warrant it.</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2026-09-22T10:09:19.954Z</dcterms:created>
  <dcterms:modified xsi:type="dcterms:W3CDTF">2026-09-22T10:09:19.954Z</dcterms:modified>
</cp:coreProperties>
</file>

<file path=docProps/custom.xml><?xml version="1.0" encoding="utf-8"?>
<Properties xmlns="http://schemas.openxmlformats.org/officeDocument/2006/custom-properties" xmlns:vt="http://schemas.openxmlformats.org/officeDocument/2006/docPropsVTypes"/>
</file>