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Online Coaching</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held on the open gym floor during staffed hours, and never in a closed or unsupervised room. Hands-on cueing is used only to help your technique, only with your agreement, and you can decline it at any time without giving a reason and without it affecting your training in any way.</w:t>
      </w:r>
    </w:p>
    <w:p>
      <w:pPr>
        <w:spacing w:after="70"/>
      </w:pPr>
      <w:r>
        <w:rPr>
          <w:sz w:val="18"/>
          <w:szCs w:val="18"/>
        </w:rPr>
        <w:t xml:space="preserve">If something in a session is not right, tell me at the time or afterwards and it stops. If you would rather not raise it with me, you can raise it with Fitaz Gym front of house instead.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Online coaching is $44 per week (GST incl.) and includes personalised programming, progress tracking and message support through the Kinetic Hustl App. It does not include in-person training sessions; these can be booked separately at the casual rate below.</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Online Coaching at $__________ per week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Online coaching</w:t>
            </w:r>
          </w:p>
        </w:tc>
        <w:tc>
          <w:tcPr>
            <w:tcW w:type="dxa" w:w="4000"/>
            <w:tcMar>
              <w:top w:type="dxa" w:w="90"/>
              <w:left w:type="dxa" w:w="120"/>
              <w:bottom w:type="dxa" w:w="90"/>
              <w:right w:type="dxa" w:w="120"/>
            </w:tcMar>
          </w:tcPr>
          <w:p>
            <w:pPr>
              <w:jc w:val="center"/>
            </w:pPr>
            <w:r>
              <w:rPr>
                <w:b w:val="false"/>
                <w:bCs w:val="false"/>
                <w:sz w:val="18"/>
                <w:szCs w:val="18"/>
              </w:rPr>
              <w:t xml:space="preserve">$44 per week</w:t>
            </w:r>
          </w:p>
        </w:tc>
      </w:tr>
    </w:tbl>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45-minute Personal Training session</w:t>
            </w:r>
          </w:p>
        </w:tc>
        <w:tc>
          <w:tcPr>
            <w:tcW w:type="dxa" w:w="4000"/>
            <w:tcMar>
              <w:top w:type="dxa" w:w="90"/>
              <w:left w:type="dxa" w:w="120"/>
              <w:bottom w:type="dxa" w:w="90"/>
              <w:right w:type="dxa" w:w="120"/>
            </w:tcMar>
          </w:tcPr>
          <w:p>
            <w:pPr>
              <w:jc w:val="center"/>
            </w:pPr>
            <w:r>
              <w:rPr>
                <w:b w:val="false"/>
                <w:bCs w:val="false"/>
                <w:sz w:val="18"/>
                <w:szCs w:val="18"/>
              </w:rPr>
              <w:t xml:space="preserve">$121</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2026-09-25T03:16:41.657Z</dcterms:created>
  <dcterms:modified xsi:type="dcterms:W3CDTF">2026-09-25T03:16:41.657Z</dcterms:modified>
</cp:coreProperties>
</file>

<file path=docProps/custom.xml><?xml version="1.0" encoding="utf-8"?>
<Properties xmlns="http://schemas.openxmlformats.org/officeDocument/2006/custom-properties" xmlns:vt="http://schemas.openxmlformats.org/officeDocument/2006/docPropsVTypes"/>
</file>