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2-on-1 Training — maximum two participants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leaves permanently, you will continue at your agreed rate for two weeks while a replacement is sought. Before that period ends the Trainer will confirm to you in writing the rate that would apply to the new group size. Your rate will not change unless you agree to the new rate in writing. If you would prefer not to continue at that rate, you may end this agreement at that point without further notice period or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includes access to the Kinetic Hustl App at $22 per week (GST incl.), charged in addition to your session rate.</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2-on-1 Training session(s)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2-on-1 set rate</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bl>
    <w:p>
      <w:pPr>
        <w:spacing w:after="120"/>
      </w:pPr>
      <w:r>
        <w:rPr>
          <w:sz w:val="19"/>
          <w:szCs w:val="19"/>
        </w:rPr>
        <w:t xml:space="preserve">Plus access to the Kinetic Hustl App at $22 per week (GST incl.).</w:t>
      </w:r>
    </w:p>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2026-09-23T10:05:42.895Z</dcterms:created>
  <dcterms:modified xsi:type="dcterms:W3CDTF">2026-09-23T10:05:42.895Z</dcterms:modified>
</cp:coreProperties>
</file>

<file path=docProps/custom.xml><?xml version="1.0" encoding="utf-8"?>
<Properties xmlns="http://schemas.openxmlformats.org/officeDocument/2006/custom-properties" xmlns:vt="http://schemas.openxmlformats.org/officeDocument/2006/docPropsVTypes"/>
</file>