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2-on-1 Training — maximum two participants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A credit may be extended at my discretion.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gives notice or leaves, the Trainer will tell you as soon as they know and confirm in writing the rate that would apply to the new group size. You will have at least two weeks' notice before any new rate takes effect, and the Trainer will use that time to look for a replacement. Your rate does not change unless you agree to the new rate in writing. If you would rather not continue at the new rate, you may end this agreement at that point with no further notice period and no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This agreement includes access to the Kinetic Hustl App at $22 per week (GST incl.), charged in addition to your session rate.</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2-on-1 Training session(s)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2-on-1 set rate</w:t>
            </w:r>
          </w:p>
        </w:tc>
        <w:tc>
          <w:tcPr>
            <w:tcW w:type="dxa" w:w="4000"/>
            <w:tcMar>
              <w:top w:type="dxa" w:w="90"/>
              <w:left w:type="dxa" w:w="120"/>
              <w:bottom w:type="dxa" w:w="90"/>
              <w:right w:type="dxa" w:w="120"/>
            </w:tcMar>
          </w:tcPr>
          <w:p>
            <w:pPr>
              <w:jc w:val="center"/>
            </w:pPr>
            <w:r>
              <w:rPr>
                <w:b w:val="false"/>
                <w:bCs w:val="false"/>
                <w:sz w:val="18"/>
                <w:szCs w:val="18"/>
              </w:rPr>
              <w:t xml:space="preserve">$66</w:t>
            </w:r>
          </w:p>
        </w:tc>
      </w:tr>
    </w:tbl>
    <w:p>
      <w:pPr>
        <w:spacing w:after="120"/>
      </w:pPr>
      <w:r>
        <w:rPr>
          <w:sz w:val="19"/>
          <w:szCs w:val="19"/>
        </w:rPr>
        <w:t xml:space="preserve">Plus access to the Kinetic Hustl App at $22 per week (GST incl.).</w:t>
      </w:r>
    </w:p>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$66</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2026-09-25T04:49:13.477Z</dcterms:created>
  <dcterms:modified xsi:type="dcterms:W3CDTF">2026-09-25T04:49:13.477Z</dcterms:modified>
</cp:coreProperties>
</file>

<file path=docProps/custom.xml><?xml version="1.0" encoding="utf-8"?>
<Properties xmlns="http://schemas.openxmlformats.org/officeDocument/2006/custom-properties" xmlns:vt="http://schemas.openxmlformats.org/officeDocument/2006/docPropsVTypes"/>
</file>