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Федеральное государственное бюджетное образовательное учреждение</w:t>
      </w:r>
      <w:r>
        <w:rPr>
          <w:sz w:val="30"/>
          <w:szCs w:val="30"/>
          <w:rtl w:val="0"/>
          <w:lang w:val="ru-RU"/>
        </w:rPr>
        <w:t xml:space="preserve"> </w:t>
      </w:r>
      <w:r>
        <w:rPr>
          <w:sz w:val="30"/>
          <w:szCs w:val="30"/>
          <w:rtl w:val="0"/>
          <w:lang w:val="ru-RU"/>
        </w:rPr>
        <w:t xml:space="preserve">высшего образования </w:t>
      </w:r>
    </w:p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Московский государственный технический университет имени Н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Э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Баумана</w:t>
      </w:r>
      <w:r>
        <w:rPr>
          <w:sz w:val="30"/>
          <w:szCs w:val="30"/>
          <w:rtl w:val="0"/>
          <w:lang w:val="ru-RU"/>
        </w:rPr>
        <w:t xml:space="preserve"> </w:t>
      </w:r>
      <w:r>
        <w:rPr>
          <w:sz w:val="30"/>
          <w:szCs w:val="30"/>
          <w:rtl w:val="0"/>
          <w:lang w:val="ru-RU"/>
        </w:rPr>
        <w:t>(</w:t>
      </w:r>
      <w:r>
        <w:rPr>
          <w:sz w:val="30"/>
          <w:szCs w:val="30"/>
          <w:rtl w:val="0"/>
          <w:lang w:val="ru-RU"/>
        </w:rPr>
        <w:t>МГТУ им</w:t>
      </w:r>
      <w:r>
        <w:rPr>
          <w:sz w:val="30"/>
          <w:szCs w:val="30"/>
          <w:rtl w:val="0"/>
          <w:lang w:val="ru-RU"/>
        </w:rPr>
        <w:t xml:space="preserve">. </w:t>
      </w:r>
      <w:r>
        <w:rPr>
          <w:sz w:val="30"/>
          <w:szCs w:val="30"/>
          <w:rtl w:val="0"/>
          <w:lang w:val="ru-RU"/>
        </w:rPr>
        <w:t>Н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Э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>Баумана</w:t>
      </w:r>
      <w:r>
        <w:rPr>
          <w:sz w:val="30"/>
          <w:szCs w:val="30"/>
          <w:rtl w:val="0"/>
          <w:lang w:val="ru-RU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i w:val="1"/>
          <w:iCs w:val="1"/>
          <w:sz w:val="36"/>
          <w:szCs w:val="36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ДОМАШНЕЕ ЗАДАНИЕ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 ДИСЦИПЛИНЕ «ПРАВОВЕДЕНИЕ»</w:t>
      </w:r>
    </w:p>
    <w:p>
      <w:pPr>
        <w:pStyle w:val="Normal.0"/>
        <w:tabs>
          <w:tab w:val="left" w:pos="3402"/>
        </w:tabs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Вариант № </w:t>
      </w:r>
      <w:r>
        <w:rPr>
          <w:b w:val="1"/>
          <w:bCs w:val="1"/>
          <w:sz w:val="28"/>
          <w:szCs w:val="28"/>
          <w:rtl w:val="0"/>
          <w:lang w:val="en-US"/>
        </w:rPr>
        <w:t>9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heading 3"/>
        <w:spacing w:line="360" w:lineRule="auto"/>
        <w:jc w:val="right"/>
      </w:pPr>
    </w:p>
    <w:p>
      <w:pPr>
        <w:pStyle w:val="heading 3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Выполнил</w:t>
      </w:r>
      <w:r>
        <w:rPr>
          <w:sz w:val="30"/>
          <w:szCs w:val="30"/>
          <w:rtl w:val="0"/>
          <w:lang w:val="ru-RU"/>
        </w:rPr>
        <w:t xml:space="preserve">: </w:t>
      </w:r>
    </w:p>
    <w:p>
      <w:pPr>
        <w:pStyle w:val="Колонтитулы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  <w:lang w:val="ru-RU"/>
        </w:rPr>
        <w:t>Филимонов Степан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</w:p>
    <w:p>
      <w:pPr>
        <w:pStyle w:val="Колонтитулы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  <w:lang w:val="ru-RU"/>
        </w:rPr>
        <w:t>Группа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РЛ</w:t>
      </w:r>
      <w:r>
        <w:rPr>
          <w:rFonts w:ascii="Times New Roman" w:hAnsi="Times New Roman"/>
          <w:sz w:val="30"/>
          <w:szCs w:val="30"/>
          <w:rtl w:val="0"/>
          <w:lang w:val="ru-RU"/>
        </w:rPr>
        <w:t>6-51</w:t>
      </w:r>
    </w:p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 xml:space="preserve">                                                                              </w:t>
      </w:r>
    </w:p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Проверила</w:t>
      </w:r>
      <w:r>
        <w:rPr>
          <w:sz w:val="30"/>
          <w:szCs w:val="30"/>
          <w:rtl w:val="0"/>
          <w:lang w:val="ru-RU"/>
        </w:rPr>
        <w:t xml:space="preserve">:  </w:t>
      </w:r>
      <w:r>
        <w:rPr>
          <w:sz w:val="30"/>
          <w:szCs w:val="30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Стороженко Ольга Михайловна</w:t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</w:pPr>
      <w:r>
        <w:rPr>
          <w:rtl w:val="0"/>
          <w:lang w:val="ru-RU"/>
        </w:rPr>
        <w:t xml:space="preserve">  </w:t>
      </w:r>
    </w:p>
    <w:p>
      <w:pPr>
        <w:pStyle w:val="Normal.0"/>
        <w:spacing w:line="360" w:lineRule="auto"/>
        <w:jc w:val="right"/>
        <w:rPr>
          <w:sz w:val="36"/>
          <w:szCs w:val="36"/>
        </w:rPr>
      </w:pPr>
    </w:p>
    <w:p>
      <w:pPr>
        <w:pStyle w:val="Normal.0"/>
        <w:tabs>
          <w:tab w:val="left" w:pos="3119"/>
          <w:tab w:val="left" w:pos="340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ЗАЧТЕНО </w:t>
      </w:r>
      <w:r>
        <w:rPr>
          <w:sz w:val="26"/>
          <w:szCs w:val="26"/>
          <w:rtl w:val="0"/>
          <w:lang w:val="ru-RU"/>
        </w:rPr>
        <w:t xml:space="preserve">/ </w:t>
      </w:r>
      <w:r>
        <w:rPr>
          <w:sz w:val="26"/>
          <w:szCs w:val="26"/>
          <w:rtl w:val="0"/>
          <w:lang w:val="ru-RU"/>
        </w:rPr>
        <w:t>НЕ ЗАЧТЕНО</w:t>
      </w:r>
      <w:r>
        <w:rPr>
          <w:sz w:val="26"/>
          <w:szCs w:val="26"/>
          <w:rtl w:val="0"/>
          <w:lang w:val="ru-RU"/>
        </w:rPr>
        <w:t>___________________</w:t>
      </w:r>
    </w:p>
    <w:p>
      <w:pPr>
        <w:pStyle w:val="Normal.0"/>
        <w:spacing w:line="360" w:lineRule="auto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                                       (</w:t>
      </w:r>
      <w:r>
        <w:rPr>
          <w:sz w:val="26"/>
          <w:szCs w:val="26"/>
          <w:rtl w:val="0"/>
          <w:lang w:val="ru-RU"/>
        </w:rPr>
        <w:t>нужное выделить</w:t>
      </w:r>
      <w:r>
        <w:rPr>
          <w:sz w:val="26"/>
          <w:szCs w:val="26"/>
          <w:rtl w:val="0"/>
          <w:lang w:val="ru-RU"/>
        </w:rPr>
        <w:t>)                          (</w:t>
      </w:r>
      <w:r>
        <w:rPr>
          <w:sz w:val="26"/>
          <w:szCs w:val="26"/>
          <w:rtl w:val="0"/>
          <w:lang w:val="ru-RU"/>
        </w:rPr>
        <w:t>подпись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right"/>
      </w:pPr>
    </w:p>
    <w:p>
      <w:pPr>
        <w:pStyle w:val="Normal.0"/>
        <w:spacing w:line="360" w:lineRule="auto"/>
        <w:jc w:val="center"/>
      </w:pPr>
      <w:r>
        <w:rPr>
          <w:rtl w:val="0"/>
          <w:lang w:val="ru-RU"/>
        </w:rPr>
        <w:t>Москва</w:t>
      </w:r>
      <w:r>
        <w:rPr>
          <w:rtl w:val="0"/>
          <w:lang w:val="ru-RU"/>
        </w:rPr>
        <w:t>, 2022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71"/>
        <w:gridCol w:w="4507"/>
        <w:gridCol w:w="366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hanging="72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№п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Критерий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Комментарий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Наименование акта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дата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место принятия решения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наименование суда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Укажите реквизиты судебного органа и судебного акта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Состав суда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Решение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по делу № 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65-4559/2022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11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мая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2022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по адресу</w:t>
            </w:r>
            <w:r>
              <w:rPr>
                <w:outline w:val="0"/>
                <w:color w:val="8c8c8c"/>
                <w:u w:color="d9d9d9"/>
                <w:rtl w:val="0"/>
                <w:lang w:val="ru-RU"/>
                <w14:textFill>
                  <w14:solidFill>
                    <w14:srgbClr w14:val="8C8C8C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ул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Ново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Песочная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д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.40, 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Казань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Республика Татарстан</w:t>
            </w:r>
            <w:r>
              <w:rPr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, 420107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0"/>
                <w:outline w:val="0"/>
                <w:color w:val="0563c1"/>
                <w:u w:val="single" w:color="0563c1"/>
                <w14:textFill>
                  <w14:solidFill>
                    <w14:srgbClr w14:val="0563C1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563c1"/>
                <w:u w:val="single" w:color="0563c1"/>
                <w14:textFill>
                  <w14:solidFill>
                    <w14:srgbClr w14:val="0563C1"/>
                  </w14:solidFill>
                </w14:textFill>
              </w:rPr>
              <w:instrText xml:space="preserve"> HYPERLINK "https://sudact.ru/arbitral/court/bEB46MsbdP65/"</w:instrText>
            </w:r>
            <w:r>
              <w:rPr>
                <w:rStyle w:val="Hyperlink.0"/>
                <w:outline w:val="0"/>
                <w:color w:val="0563c1"/>
                <w:u w:val="single" w:color="0563c1"/>
                <w14:textFill>
                  <w14:solidFill>
                    <w14:srgbClr w14:val="0563C1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563c1"/>
                <w:u w:val="single" w:color="0563c1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 xml:space="preserve">Арбитражный суд Республики Татарстан </w:t>
            </w:r>
            <w:r>
              <w:rPr>
                <w:rStyle w:val="Hyperlink.0"/>
                <w:outline w:val="0"/>
                <w:color w:val="0563c1"/>
                <w:u w:val="single" w:color="0563c1"/>
                <w:rtl w:val="0"/>
                <w14:textFill>
                  <w14:solidFill>
                    <w14:srgbClr w14:val="0563C1"/>
                  </w14:solidFill>
                </w14:textFill>
              </w:rPr>
              <w:t>(</w:t>
            </w:r>
            <w:r>
              <w:rPr>
                <w:rStyle w:val="Hyperlink.0"/>
                <w:outline w:val="0"/>
                <w:color w:val="0563c1"/>
                <w:u w:val="single" w:color="0563c1"/>
                <w:rtl w:val="0"/>
                <w:lang w:val="ru-RU"/>
                <w14:textFill>
                  <w14:solidFill>
                    <w14:srgbClr w14:val="0563C1"/>
                  </w14:solidFill>
                </w14:textFill>
              </w:rPr>
              <w:t>АС Республики Татарстан</w:t>
            </w:r>
            <w:r>
              <w:rPr>
                <w:rStyle w:val="Hyperlink.0"/>
                <w:outline w:val="0"/>
                <w:color w:val="0563c1"/>
                <w:u w:val="single" w:color="0563c1"/>
                <w:rtl w:val="0"/>
                <w14:textFill>
                  <w14:solidFill>
                    <w14:srgbClr w14:val="0563C1"/>
                  </w14:solidFill>
                </w14:textFill>
              </w:rPr>
              <w:t>)</w:t>
            </w:r>
            <w:r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  <w:fldChar w:fldCharType="end" w:fldLock="0"/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both"/>
              <w:rPr>
                <w:outline w:val="0"/>
                <w:color w:val="8c8c8c"/>
                <w:u w:color="d9d9d9"/>
                <w14:textFill>
                  <w14:solidFill>
                    <w14:srgbClr w14:val="8C8C8C"/>
                  </w14:solidFill>
                </w14:textFill>
              </w:rPr>
            </w:pPr>
          </w:p>
          <w:p>
            <w:pPr>
              <w:pStyle w:val="Normal.0"/>
              <w:jc w:val="both"/>
              <w:rPr>
                <w:outline w:val="0"/>
                <w:color w:val="000000"/>
                <w:u w:color="d9d9d9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both"/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</w:pPr>
          </w:p>
          <w:p>
            <w:pPr>
              <w:pStyle w:val="Normal.0"/>
              <w:jc w:val="both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Предмет спора или заявленное требование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Определите требование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истец предъявил ответчику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Это может быть возврат вещи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уплаченной денежной суммы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выплата задолженности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вселение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выселение из жилого помещения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опубликование опровержения сведений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порочащих честь и достоинство гражданина и др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В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зыскани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е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578000.00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руб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компенсации за нарушение исключительных авторских прав на программный продукт для ЭВМ «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Optima WIN 8.3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»</w:t>
            </w:r>
          </w:p>
          <w:p>
            <w:pPr>
              <w:pStyle w:val="Normal.0"/>
              <w:jc w:val="both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Стороны и их статус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Дайте характеристику участникам дела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укажите статус физического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 юридического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наличии дополнительных признаков специального субъекта выделите эти признаки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заявление подано в защиту интересов третьего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охарактеризуйте третье лицо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общество с ограниченной ответственностью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Алтек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Санкт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Петербург–истец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обществу с ограниченной ответственностью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Эксклюзив Строй Групп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Казань– ответчик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d9d9d9"/>
                <w:u w:color="d9d9d9"/>
                <w:shd w:val="nil" w:color="auto" w:fill="auto"/>
                <w:lang w:val="ru-RU"/>
                <w14:textFill>
                  <w14:solidFill>
                    <w14:srgbClr w14:val="D9D9D9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Другие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участвующие в деле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представители сторон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При наличии других участников процесса определите их статус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адвокат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свидетель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эксперт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переводчик и др</w:t>
            </w:r>
            <w:r>
              <w:rPr>
                <w:shd w:val="nil" w:color="auto" w:fill="auto"/>
                <w:rtl w:val="0"/>
                <w:lang w:val="ru-RU"/>
              </w:rPr>
              <w:t xml:space="preserve">.) </w:t>
            </w:r>
            <w:r>
              <w:rPr>
                <w:shd w:val="nil" w:color="auto" w:fill="auto"/>
                <w:rtl w:val="0"/>
                <w:lang w:val="ru-RU"/>
              </w:rPr>
              <w:t>и форму представления доказательств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свидетельские показания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экспертное заключение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протокол осмотра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выемки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обыска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характеристика личности и др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outline w:val="0"/>
                <w:color w:val="000000"/>
                <w:u w:color="d9d9d9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Отсутствуют личности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Общая стоимость программных продуктов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обнаруженных во время проведения проверки ООО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Эксклюзив Строй Групп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правообладателем которых является ООО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Алтек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составляет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289000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рублей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both"/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</w:pPr>
          </w:p>
          <w:p>
            <w:pPr>
              <w:pStyle w:val="Normal.0"/>
              <w:jc w:val="both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Фабула дела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Самостоятельно сформулируйте суть судебного дела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спора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изложите кратко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доступным языком в </w:t>
            </w:r>
            <w:r>
              <w:rPr>
                <w:shd w:val="nil" w:color="auto" w:fill="auto"/>
                <w:rtl w:val="0"/>
                <w:lang w:val="ru-RU"/>
              </w:rPr>
              <w:t>7</w:t>
            </w:r>
            <w:r>
              <w:rPr>
                <w:shd w:val="nil" w:color="auto" w:fill="auto"/>
                <w:rtl w:val="0"/>
                <w:lang w:val="ru-RU"/>
              </w:rPr>
              <w:t>–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предложениях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outline w:val="0"/>
                <w:color w:val="d9d9d9"/>
                <w:u w:color="d9d9d9"/>
                <w:shd w:val="nil" w:color="auto" w:fill="auto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Суть дела заключется в том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что ответчик скачал не купив программу истеца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она им разработана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).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Когда истец об этом узнал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то он подал в суд на ответчика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both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Позиция истца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заявителя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обвинения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Кратко изложите требования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представленные в иске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заявлении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обвинении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изменения и дополнения требований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укажите на них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outline w:val="0"/>
                <w:color w:val="000000"/>
                <w:u w:color="d9d9d9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Истцу из свободного доступа сети Интернет стало известно о возможном нарушении ответчиком его исключительных прав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поэтому в адрес его руководителя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30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октября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2020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года сотрудниками полиции было выдано обязательное представление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Согласно данному представлению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представленного истцом в материалы дела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общество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Эксклюзив Строй Групп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в течение семи суток обязано было удалить из компьютеров контрафактные программные продукты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исключительные права на которые принадлежат правообладателям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Однако ответчик продолжал использовать нелицензионные программные продукты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в подтверждение сего истцом представлены коммерческие предложения ООО «Эксклюзив Строй Групп» №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6623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и №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379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09.03.2021,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по утверждению истца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они выполнены при помощи контрафактных программ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both"/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</w:pPr>
          </w:p>
          <w:p>
            <w:pPr>
              <w:pStyle w:val="Normal.0"/>
              <w:jc w:val="both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Позиция ответчика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защиты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Кратко изложите возражения ответчика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защиты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доводы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опровергающие позицию истца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заявителя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обвинения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Ответчик полагает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что представленные истцом такие документы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как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протокол осмотра места происшествия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справки об исследовании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заключение эксперта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обязательное представление не являются бесспорными доказательствами вины ответчика ООО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Эксклюзив Строй Групп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так как истцом не представлен процессуальный документ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подтверждающий вину ответчика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outline w:val="0"/>
                <w:color w:val="d9d9d9"/>
                <w:u w:color="d9d9d9"/>
                <w:lang w:val="ru-RU"/>
                <w14:textFill>
                  <w14:solidFill>
                    <w14:srgbClr w14:val="D9D9D9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Наличие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отсутствие встречного иска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При предъявлении встречного иска изложите его суть и возражения истца против встречного иска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Встреченного иска не было</w:t>
            </w:r>
            <w:r>
              <w:rPr>
                <w:outline w:val="0"/>
                <w:color w:val="d9d9d9"/>
                <w:u w:color="d9d9d9"/>
                <w:shd w:val="nil" w:color="auto" w:fill="auto"/>
                <w:lang w:val="ru-RU"/>
                <w14:textFill>
                  <w14:solidFill>
                    <w14:srgbClr w14:val="D9D9D9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Юридическая квалификация 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Юридическую  квалификацию дела дает суд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она состоит из определения правоотношения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существующего между сторонами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Сопоставляется информация о фактических обстоятельствах реальной жизни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полученной из комплекса доказательств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их юридической моделью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закрепленной в правовой норме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Определите вид правоотношения по отраслевому признаку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Здесь необходимо указать реквизиты нормативного акта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 основании которого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которых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рассматривается данное дело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</w:t>
            </w:r>
            <w:r>
              <w:rPr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уководствуясь статьями </w: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instrText xml:space="preserve"> HYPERLINK "https://sudact.ru/law/apk-rf/razdel-i/glava-9/statia-110/"</w:instrTex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110</w:t>
            </w:r>
            <w:r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  <w:fldChar w:fldCharType="end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instrText xml:space="preserve"> HYPERLINK "https://sudact.ru/law/apk-rf/razdel-ii/glava-20/statia-167/"</w:instrTex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167</w:t>
            </w:r>
            <w:r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  <w:fldChar w:fldCharType="end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instrText xml:space="preserve"> HYPERLINK "https://sudact.ru/law/apk-rf/razdel-ii/glava-20/statia-171/"</w:instrTex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171</w:t>
            </w:r>
            <w:r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  <w:fldChar w:fldCharType="end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instrText xml:space="preserve"> HYPERLINK "https://sudact.ru/law/apk-rf/razdel-iv/glava-29/statia-229/"</w:instrTex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229</w:t>
            </w:r>
            <w:r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  <w:fldChar w:fldCharType="end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Арбитражного процессуального кодекса Российской Федерации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арбитражный суд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Сумма компенсации определяется судом в пределах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установленных ГК РФ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в зависимости от характера нарушения и иных обстоятельств дела с учетом требований разумности и справедливости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пункт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3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статьи </w: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instrText xml:space="preserve"> HYPERLINK "https://sudact.ru/law/gk-rf-chast4/razdel-vii/glava-69/statia-1252/"</w:instrText>
            </w:r>
            <w:r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1252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ГК РФ</w:t>
            </w:r>
            <w:r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  <w:fldChar w:fldCharType="end" w:fldLock="0"/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jc w:val="both"/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jc w:val="both"/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</w:pPr>
          </w:p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Решение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принятое по делу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Подтверждено ли судом наличие заявленного правоотношения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чем суть принятого решения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удовлетворяются ли заявленные требования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 отказе в удовлетворении иска указать основания отказа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Какие выводы сделаны судом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 решен вопрос судебных расходов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порядка и сроков исполнения решения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Определите вид ответственности и вид наказания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outline w:val="0"/>
                <w:color w:val="d9d9d9"/>
                <w:u w:color="d9d9d9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Иск удовлетворить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Взыскать с общества с ограниченной ответственностью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Эксклюзив Строй Групп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Казань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ОГРН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&lt;***&gt;,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ИНН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&lt;***&gt;)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в пользу общества с ограниченной ответственностью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Алтек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Санкт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Петербург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ОГРН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&lt;***&gt;,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ИНН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&lt;***&gt;) 578000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руб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компенсации за нарушение исключительных авторских прав на программный продукт для ЭВМ «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Optima WIN 8.3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»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14560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руб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расходов по оплате госпошлины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jc w:val="center"/>
        <w:rPr>
          <w:rStyle w:val="Нет"/>
        </w:rPr>
      </w:pPr>
    </w:p>
    <w:p>
      <w:pPr>
        <w:pStyle w:val="Normal.0"/>
        <w:jc w:val="both"/>
      </w:pP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71"/>
        <w:gridCol w:w="4507"/>
        <w:gridCol w:w="366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hanging="720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№п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Критерий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Комментарий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Наименование акта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место принятия решения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наименование суда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Укажите реквизиты судебного органа и судебного акта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Состав суда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Нет"/>
                <w:outline w:val="0"/>
                <w:color w:val="000000"/>
                <w:u w:color="d9d9d9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Решение №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30-2-219/2022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от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25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апреля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2022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по делу №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30-2-219/2022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Ярославль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ул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Советская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, 18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Ярославский областной суд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Ярославская область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outline w:val="0"/>
                <w:color w:val="d9d9d9"/>
                <w:u w:color="d9d9d9"/>
                <w:shd w:val="nil" w:color="auto" w:fill="auto"/>
                <w:lang w:val="ru-RU"/>
                <w14:textFill>
                  <w14:solidFill>
                    <w14:srgbClr w14:val="D9D9D9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Предмет спора или заявленное требование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Определите требование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которое истец предъявил ответчику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Это может быть возврат вещи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уплаченной денежной суммы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выплата задолженности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вселение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выселение из жилого помещения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опубликование опровержения сведений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порочащих честь и достоинство гражданина и др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Нет"/>
                <w:outline w:val="0"/>
                <w:color w:val="d9d9d9"/>
                <w:u w:color="d9d9d9"/>
                <w:shd w:val="nil" w:color="auto" w:fill="auto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Жалоба на постановление инспектора ГИБДД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Стороны и их статус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Дайте характеристику участникам дела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укажите статус физического лица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вид юридического лица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 наличии дополнительных признаков специального субъекта выделите эти признаки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Если заявление подано в защиту интересов третьего лица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охарактеризуйте третье лицо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Hyperlink.1"/>
                <w:outline w:val="0"/>
                <w:color w:val="000000"/>
                <w:u w:color="d9d9d9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ФИО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1 -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истец</w:t>
            </w:r>
          </w:p>
          <w:p>
            <w:pPr>
              <w:pStyle w:val="Normal.0"/>
              <w:jc w:val="both"/>
              <w:rPr>
                <w:u w:color="d9d9d9"/>
              </w:rPr>
            </w:pPr>
            <w:r>
              <w:rPr>
                <w:u w:color="d9d9d9"/>
                <w:rtl w:val="0"/>
                <w:lang w:val="ru-RU"/>
              </w:rPr>
              <w:t>ФИО</w:t>
            </w:r>
            <w:r>
              <w:rPr>
                <w:u w:color="d9d9d9"/>
                <w:rtl w:val="0"/>
                <w:lang w:val="ru-RU"/>
              </w:rPr>
              <w:t xml:space="preserve">2 - </w:t>
            </w:r>
            <w:r>
              <w:rPr>
                <w:u w:color="d9d9d9"/>
                <w:rtl w:val="0"/>
                <w:lang w:val="ru-RU"/>
              </w:rPr>
              <w:t>инспектор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u w:color="d9d9d9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Другие лица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участвующие в деле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представители сторон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При наличии других участников процесса определите их статус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адвокат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свидетель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эксперт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переводчик и др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 форму представления доказательств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свидетельские показания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экспертное заключение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протокол осмотра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выемки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обыска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характеристика личности и др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color="d9d9d9"/>
              </w:rPr>
            </w:pPr>
            <w:r>
              <w:rPr>
                <w:u w:color="d9d9d9"/>
                <w:rtl w:val="0"/>
                <w:lang w:val="ru-RU"/>
              </w:rPr>
              <w:t>ФИО</w:t>
            </w:r>
            <w:r>
              <w:rPr>
                <w:u w:color="d9d9d9"/>
                <w:rtl w:val="0"/>
                <w:lang w:val="ru-RU"/>
              </w:rPr>
              <w:t xml:space="preserve">3 - </w:t>
            </w:r>
            <w:r>
              <w:rPr>
                <w:u w:color="d9d9d9"/>
                <w:rtl w:val="0"/>
                <w:lang w:val="ru-RU"/>
              </w:rPr>
              <w:t>защитник ФИО</w:t>
            </w:r>
            <w:r>
              <w:rPr>
                <w:u w:color="d9d9d9"/>
                <w:rtl w:val="0"/>
                <w:lang w:val="ru-RU"/>
              </w:rPr>
              <w:t xml:space="preserve">1 </w:t>
            </w:r>
            <w:r>
              <w:rPr>
                <w:u w:color="d9d9d9"/>
                <w:rtl w:val="0"/>
                <w:lang w:val="ru-RU"/>
              </w:rPr>
              <w:t>по доверенности</w:t>
            </w:r>
            <w:r>
              <w:rPr>
                <w:u w:color="d9d9d9"/>
                <w:rtl w:val="0"/>
                <w:lang w:val="ru-RU"/>
              </w:rPr>
              <w:t>,</w:t>
            </w:r>
          </w:p>
          <w:p>
            <w:pPr>
              <w:pStyle w:val="Normal.0"/>
              <w:jc w:val="both"/>
            </w:pP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ФИО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8 -  </w:t>
            </w:r>
            <w:r>
              <w:rPr>
                <w:rStyle w:val="Hyperlink.1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собственник транспортного средства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Фабула дела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Самостоятельно сформулируйте суть судебного дела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спора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изложите кратко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доступным языком в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7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–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предложениях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Нет"/>
                <w:outline w:val="0"/>
                <w:color w:val="d9d9d9"/>
                <w:u w:color="d9d9d9"/>
                <w:shd w:val="nil" w:color="auto" w:fill="auto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Истец припарковал машину в спорном месте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Инспектор ГИБДД посчитал это за нарушение закона и выписал штраф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Истец с этим не согласился и обратился в суд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Позиция истца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заявителя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обвинения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Кратко изложите требования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представленные в иске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заявлении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обвинении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случае изменения и дополнения требований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укажите на них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Нет"/>
                <w:outline w:val="0"/>
                <w:color w:val="d9d9d9"/>
                <w:u w:color="d9d9d9"/>
                <w:shd w:val="nil" w:color="auto" w:fill="auto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Истец требует отменить административный штраф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за парковку в не положенном месте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Позиция ответчика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защиты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Кратко изложите возражения ответчика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защиты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доводы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опровергающие позицию истца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заявителя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обвинения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Нет"/>
                <w:outline w:val="0"/>
                <w:color w:val="d9d9d9"/>
                <w:u w:color="d9d9d9"/>
                <w:shd w:val="nil" w:color="auto" w:fill="auto"/>
                <w14:textFill>
                  <w14:solidFill>
                    <w14:srgbClr w14:val="D9D9D9"/>
                  </w14:solidFill>
                </w14:textFill>
              </w:rPr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Должностное лицо инспектор ИАЗ ОБ ДПС ГИБДД УМВД России по Ярославской области ФИО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2 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просила в удовлетворении жалобы отказать</w:t>
            </w: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Наличие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отсутствие встречного иска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 предъявлении встречного иска изложите его суть и возражения истца против встречного иска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outline w:val="0"/>
                <w:color w:val="000000"/>
                <w:u w:color="d9d9d9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Встреченного иска не было</w:t>
            </w:r>
            <w:r>
              <w:rPr>
                <w:rStyle w:val="Нет"/>
                <w:outline w:val="0"/>
                <w:color w:val="d9d9d9"/>
                <w:u w:color="d9d9d9"/>
                <w:shd w:val="nil" w:color="auto" w:fill="auto"/>
                <w:lang w:val="ru-RU"/>
                <w14:textFill>
                  <w14:solidFill>
                    <w14:srgbClr w14:val="D9D9D9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Юридическая квалификация 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Юридическую  квалификацию дела дает суд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она состоит из определения правоотношения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существующего между сторонами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Сопоставляется информация о фактических обстоятельствах реальной жизни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полученной из комплекса доказательств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 их юридической моделью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закрепленной в правовой норме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Определите вид правоотношения по отраслевому признаку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Здесь необходимо указать реквизиты нормативного акта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на основании которого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рассматривается данное дело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977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На основании изложенного и руководствуясь ст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 w:hint="default"/>
                <w:rtl w:val="0"/>
              </w:rPr>
              <w:t>ст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rtl w:val="0"/>
              </w:rPr>
              <w:instrText xml:space="preserve"> HYPERLINK "https://sudact.ru/law/koap/razdel-iv/glava-30/statia-30.7/"</w:instrTex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separate" w:fldLock="0"/>
            </w:r>
            <w:r>
              <w:rPr>
                <w:rFonts w:ascii="Times New Roman" w:hAnsi="Times New Roman"/>
                <w:rtl w:val="0"/>
              </w:rPr>
              <w:t>30.7</w: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end" w:fldLock="0"/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rtl w:val="0"/>
              </w:rPr>
              <w:instrText xml:space="preserve"> HYPERLINK "https://sudact.ru/law/koap/razdel-iv/glava-30/statia-30.9/"</w:instrTex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separate" w:fldLock="0"/>
            </w:r>
            <w:r>
              <w:rPr>
                <w:rFonts w:ascii="Times New Roman" w:hAnsi="Times New Roman"/>
                <w:rtl w:val="0"/>
              </w:rPr>
              <w:t xml:space="preserve">30.9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КоАП</w: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end" w:fldLock="0"/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РФ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</w:p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cs="Times New Roman" w:hAnsi="Times New Roman" w:eastAsia="Times New Roman"/>
                <w:sz w:val="30"/>
                <w:szCs w:val="30"/>
                <w:shd w:val="nil" w:color="auto" w:fill="auto"/>
                <w:rtl w:val="0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Решение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принятое по делу</w:t>
            </w:r>
          </w:p>
        </w:tc>
        <w:tc>
          <w:tcPr>
            <w:tcW w:type="dxa" w:w="3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Подтверждено ли судом наличие заявленного правоотношения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чем суть принятого решения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удовлетворяются ли заявленные требования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?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 отказе в удовлетворении иска указать основания отказа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Какие выводы сделаны судом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 решен вопрос судебных расходов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порядка и сроков исполнения решения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Определите вид ответственности и вид наказания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933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Суд принял решение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жалобу ФИО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удовлетворить</w:t>
            </w:r>
            <w:r>
              <w:rPr>
                <w:rFonts w:ascii="Times New Roman" w:hAnsi="Times New Roman"/>
                <w:rtl w:val="0"/>
              </w:rPr>
              <w:t>.</w:t>
            </w:r>
          </w:p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>Постановление инспектора ИАЗ ОБ ДПС ГИБДД УМВД России по Ярославской области ФИО</w:t>
            </w:r>
            <w:r>
              <w:rPr>
                <w:rFonts w:ascii="Times New Roman" w:hAnsi="Times New Roman"/>
                <w:rtl w:val="0"/>
              </w:rPr>
              <w:t xml:space="preserve">2 </w:t>
            </w:r>
            <w:r>
              <w:rPr>
                <w:rFonts w:ascii="Times New Roman" w:hAnsi="Times New Roman" w:hint="default"/>
                <w:rtl w:val="0"/>
              </w:rPr>
              <w:t xml:space="preserve">№ </w:t>
            </w:r>
            <w:r>
              <w:rPr>
                <w:rFonts w:ascii="Times New Roman" w:hAnsi="Times New Roman"/>
                <w:rtl w:val="0"/>
              </w:rPr>
              <w:t>&lt;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данные изъяты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&gt; </w:t>
            </w:r>
            <w:r>
              <w:rPr>
                <w:rFonts w:ascii="Times New Roman" w:hAnsi="Times New Roman" w:hint="default"/>
                <w:rtl w:val="0"/>
              </w:rPr>
              <w:t xml:space="preserve">от </w:t>
            </w:r>
            <w:r>
              <w:rPr>
                <w:rFonts w:ascii="Times New Roman" w:hAnsi="Times New Roman"/>
                <w:rtl w:val="0"/>
              </w:rPr>
              <w:t xml:space="preserve">21 </w:t>
            </w:r>
            <w:r>
              <w:rPr>
                <w:rFonts w:ascii="Times New Roman" w:hAnsi="Times New Roman" w:hint="default"/>
                <w:rtl w:val="0"/>
              </w:rPr>
              <w:t xml:space="preserve">сентября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2021 </w:t>
            </w:r>
            <w:r>
              <w:rPr>
                <w:rFonts w:ascii="Times New Roman" w:hAnsi="Times New Roman" w:hint="default"/>
                <w:rtl w:val="0"/>
              </w:rPr>
              <w:t>года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решение судьи Красноперекопского районного суда г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Ярославля от </w:t>
            </w:r>
            <w:r>
              <w:rPr>
                <w:rFonts w:ascii="Times New Roman" w:hAnsi="Times New Roman"/>
                <w:rtl w:val="0"/>
              </w:rPr>
              <w:t xml:space="preserve">9 </w:t>
            </w:r>
            <w:r>
              <w:rPr>
                <w:rFonts w:ascii="Times New Roman" w:hAnsi="Times New Roman" w:hint="default"/>
                <w:rtl w:val="0"/>
              </w:rPr>
              <w:t xml:space="preserve">февраля </w:t>
            </w:r>
            <w:r>
              <w:rPr>
                <w:rFonts w:ascii="Times New Roman" w:hAnsi="Times New Roman"/>
                <w:rtl w:val="0"/>
              </w:rPr>
              <w:t xml:space="preserve">2022 </w:t>
            </w:r>
            <w:r>
              <w:rPr>
                <w:rFonts w:ascii="Times New Roman" w:hAnsi="Times New Roman" w:hint="default"/>
                <w:rtl w:val="0"/>
              </w:rPr>
              <w:t>года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вынесенные в отношении ФИО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1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по делу об административном правонарушении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предусмотренном частью </w:t>
            </w:r>
            <w:r>
              <w:rPr>
                <w:rFonts w:ascii="Times New Roman" w:hAnsi="Times New Roman"/>
                <w:rtl w:val="0"/>
              </w:rPr>
              <w:t xml:space="preserve">3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статьи </w:t>
            </w:r>
            <w:r>
              <w:rPr>
                <w:rStyle w:val="Hyperlink.2"/>
                <w:rFonts w:ascii="Times New Roman" w:cs="Times New Roman" w:hAnsi="Times New Roman" w:eastAsia="Times New Roman"/>
                <w:rtl w:val="0"/>
              </w:rPr>
              <w:fldChar w:fldCharType="begin" w:fldLock="0"/>
            </w:r>
            <w:r>
              <w:rPr>
                <w:rStyle w:val="Hyperlink.2"/>
                <w:rFonts w:ascii="Times New Roman" w:cs="Times New Roman" w:hAnsi="Times New Roman" w:eastAsia="Times New Roman"/>
                <w:rtl w:val="0"/>
              </w:rPr>
              <w:instrText xml:space="preserve"> HYPERLINK "https://sudact.ru/law/koap/razdel-ii/glava-12/statia-12.19/"</w:instrText>
            </w:r>
            <w:r>
              <w:rPr>
                <w:rStyle w:val="Hyperlink.2"/>
                <w:rFonts w:ascii="Times New Roman" w:cs="Times New Roman" w:hAnsi="Times New Roman" w:eastAsia="Times New Roman"/>
                <w:rtl w:val="0"/>
              </w:rPr>
              <w:fldChar w:fldCharType="separate" w:fldLock="0"/>
            </w:r>
            <w:r>
              <w:rPr>
                <w:rStyle w:val="Hyperlink.2"/>
                <w:rFonts w:ascii="Times New Roman" w:hAnsi="Times New Roman"/>
                <w:rtl w:val="0"/>
              </w:rPr>
              <w:t>12.19</w:t>
            </w:r>
            <w:r>
              <w:rPr>
                <w:rFonts w:ascii="Times New Roman" w:cs="Times New Roman" w:hAnsi="Times New Roman" w:eastAsia="Times New Roman"/>
                <w:rtl w:val="0"/>
              </w:rPr>
              <w:fldChar w:fldCharType="end" w:fldLock="0"/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Кодекса Российской Федерации об административных правонарушениях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отменить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jc w:val="both"/>
        <w:rPr>
          <w:rStyle w:val="Нет"/>
        </w:rPr>
      </w:pPr>
    </w:p>
    <w:p>
      <w:pPr>
        <w:pStyle w:val="Normal.0"/>
        <w:rPr>
          <w:rStyle w:val="Нет"/>
        </w:rPr>
      </w:pPr>
      <w:r>
        <w:rPr>
          <w:rStyle w:val="Нет"/>
          <w:rtl w:val="0"/>
          <w:lang w:val="ru-RU"/>
        </w:rPr>
        <w:t>Список использованных источник</w:t>
      </w:r>
    </w:p>
    <w:p>
      <w:pPr>
        <w:pStyle w:val="Normal.0"/>
        <w:rPr>
          <w:rStyle w:val="Нет"/>
        </w:rPr>
      </w:pPr>
    </w:p>
    <w:p>
      <w:pPr>
        <w:pStyle w:val="Normal.0"/>
        <w:rPr>
          <w:rStyle w:val="Нет"/>
        </w:rPr>
      </w:pPr>
      <w:r>
        <w:rPr>
          <w:rStyle w:val="Нет"/>
          <w:rtl w:val="0"/>
          <w:lang w:val="ru-RU"/>
        </w:rPr>
        <w:t>Первая таблица</w:t>
      </w:r>
      <w:r>
        <w:rPr>
          <w:rStyle w:val="Нет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"https://sudact.ru/arbitral/doc/PIEvl1donELd/"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https://sudact.ru/arbitral/doc/PIEvl1donELd/</w:t>
      </w:r>
      <w:r>
        <w:rPr/>
        <w:fldChar w:fldCharType="end" w:fldLock="0"/>
      </w:r>
    </w:p>
    <w:p>
      <w:pPr>
        <w:pStyle w:val="Normal.0"/>
        <w:rPr>
          <w:rStyle w:val="Нет"/>
        </w:rPr>
      </w:pPr>
    </w:p>
    <w:p>
      <w:pPr>
        <w:pStyle w:val="Normal.0"/>
      </w:pPr>
      <w:r>
        <w:rPr>
          <w:rStyle w:val="Нет"/>
          <w:rtl w:val="0"/>
          <w:lang w:val="ru-RU"/>
        </w:rPr>
        <w:t>Вторя таблица</w:t>
      </w:r>
      <w:r>
        <w:rPr>
          <w:rStyle w:val="Нет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"https://sudact.ru/regular/doc/Vcgl8hcJJzNw/"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https://sudact.ru/regular/doc/Vcgl8hcJJzNw/</w:t>
      </w:r>
      <w:r>
        <w:rPr/>
        <w:fldChar w:fldCharType="end" w:fldLock="0"/>
      </w:r>
      <w:r>
        <w:rPr>
          <w:rStyle w:val="Нет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720"/>
      </w:tabs>
      <w:suppressAutoHyphens w:val="1"/>
      <w:bidi w:val="0"/>
      <w:spacing w:before="0" w:after="0" w:line="240" w:lineRule="auto"/>
      <w:ind w:left="720" w:right="0" w:hanging="720"/>
      <w:jc w:val="center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outline w:val="0"/>
      <w:color w:val="000000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Нет"/>
    <w:next w:val="Hyperlink.2"/>
    <w:rPr>
      <w:outline w:val="0"/>
      <w:color w:val="3b5f86"/>
      <w:u w:val="single" w:color="3b5f86"/>
      <w14:textFill>
        <w14:solidFill>
          <w14:srgbClr w14:val="3C5F87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