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Московский государственный технический университет им. Н.Э. Баумана</w:t>
      </w:r>
    </w:p>
    <w:p>
      <w:pPr>
        <w:pStyle w:val="19"/>
      </w:pPr>
      <w:r>
        <w:t>Факультет «Радиоэлектроника и лазерная техника (РЛ)»</w:t>
      </w:r>
    </w:p>
    <w:p>
      <w:pPr>
        <w:pStyle w:val="19"/>
        <w:spacing w:after="0"/>
      </w:pPr>
      <w:r>
        <w:t>Кафедра «Технология приборостроения (РЛ6)»</w:t>
      </w:r>
    </w:p>
    <w:p>
      <w:pPr>
        <w:pStyle w:val="19"/>
        <w:spacing w:after="0"/>
        <w:ind w:hanging="1134"/>
      </w:pPr>
      <w:r>
        <w:pict>
          <v:line id="Прямая соединительная линия 26" o:spid="_x0000_s1026" o:spt="20" style="height:3.35pt;width:545pt;" stroked="t" coordsize="21600,21600">
            <v:path arrowok="t"/>
            <v:fill focussize="0,0"/>
            <v:stroke weight="0.5pt" color="#000000" joinstyle="miter"/>
            <v:imagedata o:title=""/>
            <o:lock v:ext="edit"/>
            <w10:wrap type="none"/>
            <w10:anchorlock/>
          </v:line>
        </w:pic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  <w:r>
        <w:t>Лабораторная работа №2</w:t>
      </w:r>
    </w:p>
    <w:p>
      <w:pPr>
        <w:pStyle w:val="19"/>
      </w:pPr>
      <w:r>
        <w:t>по дисциплине «Радиоавтоматика. Системы автоматического управления»</w:t>
      </w:r>
    </w:p>
    <w:p>
      <w:pPr>
        <w:pStyle w:val="19"/>
      </w:pPr>
    </w:p>
    <w:p>
      <w:pPr>
        <w:pStyle w:val="19"/>
        <w:ind w:firstLine="0"/>
        <w:jc w:val="both"/>
      </w:pPr>
    </w:p>
    <w:p>
      <w:pPr>
        <w:pStyle w:val="19"/>
      </w:pPr>
    </w:p>
    <w:p>
      <w:pPr>
        <w:pStyle w:val="19"/>
        <w:rPr>
          <w:rFonts w:hint="default"/>
          <w:lang w:val="ru-RU"/>
        </w:rPr>
      </w:pPr>
      <w:r>
        <w:t>Выполнил ст. группы РЛ6-8</w:t>
      </w:r>
      <w:r>
        <w:rPr>
          <w:rFonts w:hint="default"/>
          <w:lang w:val="ru-RU"/>
        </w:rPr>
        <w:t>1</w:t>
      </w:r>
    </w:p>
    <w:p>
      <w:pPr>
        <w:pStyle w:val="19"/>
        <w:rPr>
          <w:rFonts w:hint="default"/>
          <w:lang w:val="ru-RU"/>
        </w:rPr>
      </w:pPr>
      <w:bookmarkStart w:id="0" w:name="_GoBack"/>
      <w:bookmarkEnd w:id="0"/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9"/>
      </w:pPr>
    </w:p>
    <w:p>
      <w:pPr>
        <w:pStyle w:val="19"/>
      </w:pPr>
      <w:r>
        <w:t>Пре</w:t>
      </w:r>
      <w:r>
        <w:rPr>
          <w:rStyle w:val="7"/>
          <w:i w:val="0"/>
          <w:iCs w:val="0"/>
        </w:rPr>
        <w:t>подаватель</w:t>
      </w:r>
      <w:r>
        <w:rPr>
          <w:rStyle w:val="7"/>
        </w:rPr>
        <w:t xml:space="preserve"> </w:t>
      </w:r>
      <w:r>
        <w:t>Селезнёва М.С.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rPr>
          <w:rStyle w:val="7"/>
          <w:i w:val="0"/>
          <w:iCs w:val="0"/>
        </w:rPr>
      </w:pPr>
    </w:p>
    <w:p>
      <w:pPr>
        <w:pStyle w:val="19"/>
        <w:rPr>
          <w:rStyle w:val="7"/>
          <w:i w:val="0"/>
          <w:iCs w:val="0"/>
        </w:rPr>
      </w:pPr>
    </w:p>
    <w:p>
      <w:pPr>
        <w:pStyle w:val="19"/>
        <w:ind w:firstLine="0"/>
        <w:jc w:val="both"/>
      </w:pPr>
    </w:p>
    <w:p>
      <w:pPr>
        <w:spacing w:after="160"/>
        <w:ind w:firstLine="0"/>
        <w:jc w:val="center"/>
      </w:pPr>
      <w:r>
        <w:t>Москва, 2024</w:t>
      </w:r>
    </w:p>
    <w:p>
      <w:pPr>
        <w:pStyle w:val="2"/>
        <w:rPr>
          <w:rFonts w:cs="Times New Roman"/>
          <w:szCs w:val="28"/>
        </w:rPr>
      </w:pPr>
      <w:r>
        <w:br w:type="page"/>
      </w:r>
      <w:r>
        <w:rPr>
          <w:rFonts w:cs="Times New Roman"/>
          <w:szCs w:val="28"/>
        </w:rPr>
        <w:t>Идеальное</w:t>
      </w:r>
      <w:r>
        <w:t xml:space="preserve"> </w:t>
      </w:r>
      <w:r>
        <w:rPr>
          <w:rFonts w:cs="Times New Roman"/>
          <w:szCs w:val="28"/>
        </w:rPr>
        <w:t>интегрирующее звено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  <w:rPr>
          <w:rFonts w:hint="default"/>
          <w:lang w:val="en-US"/>
        </w:rPr>
      </w:pPr>
      <w:r>
        <w:t xml:space="preserve">Экспериментально полученные характеристики при вариации параметра </w:t>
      </w:r>
      <w:r>
        <w:rPr>
          <w:lang w:val="en-US"/>
        </w:rPr>
        <w:t>K</w:t>
      </w:r>
      <w:r>
        <w:t xml:space="preserve"> звена представлены на рисунке 1:</w:t>
      </w:r>
    </w:p>
    <w:p>
      <w:pPr>
        <w:ind w:firstLine="708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1" name="Изображение 1" descr="Интегрирующ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нтегрирующе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1 – ЛЧХ интегрирующего звена</w:t>
      </w:r>
    </w:p>
    <w:p>
      <w:pPr>
        <w:ind w:firstLine="0"/>
      </w:pPr>
      <w:r>
        <w:tab/>
      </w:r>
      <w:r>
        <w:t xml:space="preserve">ЛАЧХ представляет прямую с отрицательным наклоном, имеющую спад 20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>. Точка пересечения с осью частот (при 20</w:t>
      </w:r>
      <w:r>
        <w:rPr>
          <w:lang w:val="en-US"/>
        </w:rPr>
        <w:t>lgK</w:t>
      </w:r>
      <w:r>
        <w:t xml:space="preserve"> &gt; 0)  зависит от начального значения </w:t>
      </w:r>
      <w:r>
        <w:rPr>
          <w:lang w:val="en-US"/>
        </w:rPr>
        <w:t>K</w:t>
      </w:r>
      <w:r>
        <w:t xml:space="preserve"> и удаляется при увеличении </w:t>
      </w:r>
      <w:r>
        <w:rPr>
          <w:lang w:val="en-US"/>
        </w:rPr>
        <w:t>K</w:t>
      </w:r>
      <w:r>
        <w:t>.</w:t>
      </w:r>
    </w:p>
    <w:p>
      <w:pPr>
        <w:ind w:firstLine="0"/>
      </w:pPr>
      <w:r>
        <w:tab/>
      </w:r>
      <w:r>
        <w:t xml:space="preserve">ЛФЧХ идеального интегрирующего звена показывает отсутствие фазового сдвига в любой и частотной области и равно </w:t>
      </w:r>
      <m:oMath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ind w:firstLine="0"/>
      </w:pPr>
      <w:r>
        <w:tab/>
      </w: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на 0 частоте, </w:t>
      </w:r>
      <w:r>
        <w:rPr>
          <w:lang w:val="en-US"/>
        </w:rPr>
        <w:t>c</w:t>
      </w:r>
      <w:r>
        <w:t xml:space="preserve"> увеличением частоты усиление спадает со скоростью 20 дБ/дек.</w:t>
      </w:r>
    </w:p>
    <w:p>
      <w:pPr>
        <w:spacing w:after="160"/>
        <w:ind w:firstLine="0"/>
        <w:jc w:val="left"/>
      </w:pPr>
      <w:r>
        <w:br w:type="page"/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Апериодическое</w:t>
      </w:r>
      <w:r>
        <w:t xml:space="preserve"> </w:t>
      </w:r>
      <w:r>
        <w:rPr>
          <w:rFonts w:cs="Times New Roman"/>
          <w:szCs w:val="28"/>
        </w:rPr>
        <w:t>звено 1-го порядка (инерционное)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Ts+1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T</w:t>
      </w:r>
      <w:r>
        <w:t xml:space="preserve"> звена представлены на рисунке 2: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2" name="Изображение 2" descr="Апериодическое 1-го порядка (инерционно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Апериодическое 1-го порядка (инерционное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2 – ЛЧХ апериодического звена 1-го порядка</w:t>
      </w:r>
    </w:p>
    <w:p>
      <w:pPr>
        <w:ind w:firstLine="0"/>
      </w:pPr>
      <w:r>
        <w:tab/>
      </w:r>
      <w:r>
        <w:t xml:space="preserve">ЛАЧХ представляет прямую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после которого имеется спад 20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>. Точка пересечения с осью частот (при условии, что 20</w:t>
      </w:r>
      <w:r>
        <w:rPr>
          <w:lang w:val="en-US"/>
        </w:rPr>
        <w:t>lgK</w:t>
      </w:r>
      <w:r>
        <w:t xml:space="preserve"> &gt; 0) удаляется при увеличении </w:t>
      </w:r>
      <w:r>
        <w:rPr>
          <w:lang w:val="en-US"/>
        </w:rPr>
        <w:t>K</w:t>
      </w:r>
      <w:r>
        <w:t xml:space="preserve"> и уменьшении постоянной времени.</w:t>
      </w:r>
    </w:p>
    <w:p>
      <w:pPr>
        <w:ind w:firstLine="0"/>
      </w:pPr>
      <w:r>
        <w:tab/>
      </w:r>
      <w:r>
        <w:t xml:space="preserve">ЛФЧХ апериодического звена 1-го порядка изменяется от 0 до </w:t>
      </w:r>
      <m:oMath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spacing w:after="160"/>
        <w:ind w:firstLine="0"/>
        <w:jc w:val="left"/>
        <w:rPr>
          <w:rFonts w:hint="default"/>
          <w:lang w:val="en-US"/>
        </w:rPr>
      </w:pPr>
      <w:r>
        <w:tab/>
      </w: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на промежутке от 0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, то есть чем меньше постоянная времени, тем шире полоса с коэффициентом усиления 20</w:t>
      </w:r>
      <w:r>
        <w:rPr>
          <w:lang w:val="en-US"/>
        </w:rPr>
        <w:t>lgK</w:t>
      </w:r>
      <w:r>
        <w:t xml:space="preserve">; ЛФЧХ непостоянна и имеет перегиб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; апериодическое звено 1-го порядка – ФНЧ.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Апериодическое</w:t>
      </w:r>
      <w:r>
        <w:t xml:space="preserve"> </w:t>
      </w:r>
      <w:r>
        <w:rPr>
          <w:rFonts w:cs="Times New Roman"/>
          <w:szCs w:val="28"/>
        </w:rPr>
        <w:t>звено 2-го порядка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s+1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&gt;2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звена представлены на рисунке 3: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3" name="Изображение 3" descr="Апериодическое 2-го порядка (все корни вещественны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периодическое 2-го порядка (все корни вещественные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3 – ЛЧХ апериодического звена 2-го порядка</w:t>
      </w:r>
    </w:p>
    <w:p>
      <w:pPr>
        <w:ind w:firstLine="0"/>
      </w:pPr>
      <w:r>
        <w:tab/>
      </w:r>
      <w:r>
        <w:t xml:space="preserve">ЛАЧХ представляет прямую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после которого имеется спад 20 дБ/дек, затем 40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>. Точка пересечения с осью частот (при 20</w:t>
      </w:r>
      <w:r>
        <w:rPr>
          <w:lang w:val="en-US"/>
        </w:rPr>
        <w:t>lgK</w:t>
      </w:r>
      <w:r>
        <w:t xml:space="preserve"> &gt; 0)  удаляется при увеличении </w:t>
      </w:r>
      <w:r>
        <w:rPr>
          <w:lang w:val="en-US"/>
        </w:rPr>
        <w:t>K</w:t>
      </w:r>
      <w:r>
        <w:t xml:space="preserve"> и уменьшении постоянных времени.</w:t>
      </w:r>
    </w:p>
    <w:p>
      <w:pPr>
        <w:ind w:firstLine="0"/>
      </w:pPr>
      <w:r>
        <w:tab/>
      </w:r>
      <w:r>
        <w:t xml:space="preserve">ЛФЧХ апериодического звена 2-го порядка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>.</w:t>
      </w:r>
    </w:p>
    <w:p>
      <w:pPr>
        <w:spacing w:after="160"/>
        <w:ind w:firstLine="0"/>
        <w:jc w:val="left"/>
      </w:pPr>
      <w:r>
        <w:tab/>
      </w: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на промежутке от 0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то есть чем меньше постоянная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 тем шире полоса с коэффициентом усиления 20</w:t>
      </w:r>
      <w:r>
        <w:rPr>
          <w:lang w:val="en-US"/>
        </w:rPr>
        <w:t>lgK</w:t>
      </w:r>
      <w:r>
        <w:t xml:space="preserve">; ЛФЧХ непостоянна и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тем медленнее, чем больше постоянные времени.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Колебательное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s+1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звена представлены на рисунке 4: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4" name="Изображение 4" descr="Kолебате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Kолебательно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4 – ЛЧХ колебательного звена</w:t>
      </w:r>
    </w:p>
    <w:p>
      <w:pPr>
        <w:ind w:firstLine="0"/>
      </w:pPr>
      <w:r>
        <w:tab/>
      </w:r>
      <w:r>
        <w:t xml:space="preserve">ЛАЧХ представляет прямую имеющую перегиб, после которого имеется спад 40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>. Точка пересечения с осью частот (при 20</w:t>
      </w:r>
      <w:r>
        <w:rPr>
          <w:lang w:val="en-US"/>
        </w:rPr>
        <w:t>lgK</w:t>
      </w:r>
      <w:r>
        <w:t xml:space="preserve"> &gt; 0)  удаляется при увеличении </w:t>
      </w:r>
      <w:r>
        <w:rPr>
          <w:lang w:val="en-US"/>
        </w:rPr>
        <w:t>K</w:t>
      </w:r>
      <w:r>
        <w:t xml:space="preserve"> и уменьшении постоянных времени.</w:t>
      </w:r>
    </w:p>
    <w:p>
      <w:pPr>
        <w:ind w:firstLine="0"/>
      </w:pPr>
      <w:r>
        <w:tab/>
      </w:r>
      <w:r>
        <w:t xml:space="preserve">ЛФЧХ колебательного порядка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>.</w:t>
      </w:r>
    </w:p>
    <w:p>
      <w:pPr>
        <w:spacing w:after="160"/>
        <w:ind w:firstLine="0"/>
        <w:jc w:val="left"/>
        <w:rPr>
          <w:lang w:val="en-US"/>
        </w:rPr>
      </w:pPr>
      <w:r>
        <w:tab/>
      </w: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в некотором промежутке при этом чем меньше постоянные времени, тем шире полоса с коэффициентом усиления 20</w:t>
      </w:r>
      <w:r>
        <w:rPr>
          <w:lang w:val="en-US"/>
        </w:rPr>
        <w:t>lgK</w:t>
      </w:r>
      <w:r>
        <w:t xml:space="preserve">; ЛФЧХ непостоянна и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тем медленнее, чем больше постоянные времени. Кроме того, колебательное звено имеет резонанс на некоторой частоте и пик тем выраженнее, чем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Консервативное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p>
              <m:r>
                <m:rPr/>
                <w:rPr>
                  <w:rFonts w:ascii="Cambria Math" w:hAnsi="Cambria Math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 </m:t>
        </m:r>
      </m:oMath>
      <w:r>
        <w:t>звена представлены на рисунке 5: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2160" cy="4389120"/>
            <wp:effectExtent l="0" t="0" r="5715" b="1905"/>
            <wp:docPr id="5" name="Изображение 5" descr="Kонсерватив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Kонсервативно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 – ЛЧХ консервативного звена</w:t>
      </w:r>
    </w:p>
    <w:p>
      <w:pPr>
        <w:ind w:firstLine="0"/>
      </w:pPr>
      <w:r>
        <w:tab/>
      </w:r>
      <w:r>
        <w:t xml:space="preserve">ЛАЧХ представляет прямую имеющую резонанс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√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после которого имеется спад 40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>. Точка пересечения с осью частот (при 20</w:t>
      </w:r>
      <w:r>
        <w:rPr>
          <w:lang w:val="en-US"/>
        </w:rPr>
        <w:t>lgK</w:t>
      </w:r>
      <w:r>
        <w:t xml:space="preserve"> &gt; 0) удаляется при увеличении </w:t>
      </w:r>
      <w:r>
        <w:rPr>
          <w:lang w:val="en-US"/>
        </w:rPr>
        <w:t>K</w:t>
      </w:r>
      <w:r>
        <w:t xml:space="preserve"> и уменьшении постоянной времени.</w:t>
      </w:r>
    </w:p>
    <w:p>
      <w:pPr>
        <w:ind w:firstLine="0"/>
      </w:pPr>
      <w:r>
        <w:tab/>
      </w:r>
      <w:r>
        <w:t xml:space="preserve">ЛФЧХ колебательного порядка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резким скачком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√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spacing w:after="160"/>
        <w:ind w:firstLine="0"/>
        <w:jc w:val="left"/>
      </w:pPr>
      <w:r>
        <w:tab/>
      </w: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в некотором промежутке при этом чем меньше постоянная времени, тем шире полоса с коэффициентом усиления 20</w:t>
      </w:r>
      <w:r>
        <w:rPr>
          <w:lang w:val="en-US"/>
        </w:rPr>
        <w:t>lgK</w:t>
      </w:r>
      <w:r>
        <w:t xml:space="preserve">; ЛФЧХ непостоянна и изменяется от 0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резким скачком в точке резонанса. Кроме того, консервативное звено имеет резонанс на частоте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</w:rPr>
              <m:t>√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t>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Интегрирующее с запаздыванием (реальное интегрирующее)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s(Ts+1)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r>
          <m:rPr/>
          <w:rPr>
            <w:rFonts w:ascii="Cambria Math" w:hAnsi="Cambria Math"/>
          </w:rPr>
          <m:t xml:space="preserve">T </m:t>
        </m:r>
      </m:oMath>
      <w:r>
        <w:t>звена представлены на рисунке 6: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1370" cy="3458845"/>
            <wp:effectExtent l="0" t="0" r="8255" b="8255"/>
            <wp:docPr id="6" name="Изображение 6" descr="Интегрирующее с запаздыванием (реальное интегрирующе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нтегрирующее с запаздыванием (реальное интегрирующее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6 – ЛЧХ звена интегрирующего с запаздыванием</w:t>
      </w:r>
    </w:p>
    <w:p>
      <w:pPr>
        <w:ind w:firstLine="0"/>
        <w:jc w:val="both"/>
      </w:pPr>
      <w:r>
        <w:tab/>
      </w:r>
      <w:r>
        <w:t xml:space="preserve">ЛАЧХ представляет спадающую со скоростью 20 дБ/дек прямую, имеющую перегиб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 xml:space="preserve">T 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 </m:t>
        </m:r>
      </m:oMath>
      <w:r>
        <w:t xml:space="preserve">после которого имеется спад 40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</w:t>
      </w:r>
      <m:oMath>
        <m:r>
          <m:rPr/>
          <w:rPr>
            <w:rFonts w:ascii="Cambria Math" w:hAnsi="Cambria Math"/>
          </w:rPr>
          <m:t>80+20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−∞</m:t>
        </m:r>
      </m:oMath>
      <w:r>
        <w:t xml:space="preserve">. Точка пересечения с осью частот удаляется при увеличении </w:t>
      </w:r>
      <w:r>
        <w:rPr>
          <w:lang w:val="en-US"/>
        </w:rPr>
        <w:t>K</w:t>
      </w:r>
      <w:r>
        <w:t xml:space="preserve"> и уменьшении постоянной времени.</w:t>
      </w:r>
    </w:p>
    <w:p>
      <w:pPr>
        <w:ind w:firstLine="0"/>
        <w:jc w:val="both"/>
      </w:pPr>
      <w:r>
        <w:tab/>
      </w:r>
      <w:r>
        <w:t xml:space="preserve">ЛФЧХ колебательного порядка изменяется от </w:t>
      </w:r>
      <m:oMath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spacing w:after="160"/>
        <w:ind w:firstLine="0"/>
        <w:jc w:val="both"/>
        <w:rPr>
          <w:lang w:val="en-US"/>
        </w:rPr>
      </w:pPr>
      <w:r>
        <w:t xml:space="preserve">Вывод: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на 0 частоте, </w:t>
      </w:r>
      <w:r>
        <w:rPr>
          <w:lang w:val="en-US"/>
        </w:rPr>
        <w:t>c</w:t>
      </w:r>
      <w:r>
        <w:t xml:space="preserve"> увеличением частоты усиление спадает сначала со скоростью 20 дБ/дек, после точки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со скоростью 40 дБ/дек; ЛФЧХ непостоянна и изменяется от </w:t>
      </w:r>
      <m:oMath>
        <m:r>
          <m:rPr/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до </w:t>
      </w:r>
      <m:oMath>
        <m:r>
          <m:rPr/>
          <w:rPr>
            <w:rFonts w:ascii="Cambria Math" w:hAnsi="Cambria Math"/>
          </w:rPr>
          <m:t>−π</m:t>
        </m:r>
      </m:oMath>
      <w:r>
        <w:t xml:space="preserve">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тем медленнее, чем больше постоянная времени.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Дифференцирующее с запаздыванием (реальное дифференцирующее)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Ts+1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r>
          <m:rPr/>
          <w:rPr>
            <w:rFonts w:ascii="Cambria Math" w:hAnsi="Cambria Math"/>
          </w:rPr>
          <m:t xml:space="preserve">T </m:t>
        </m:r>
      </m:oMath>
      <w:r>
        <w:t>звена представлены на рисунке 7: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5000" cy="3333750"/>
            <wp:effectExtent l="0" t="0" r="3175" b="0"/>
            <wp:docPr id="7" name="Изображение 7" descr="Дифференцирующее с запаздыванием (реальное дифференцирующе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Дифференцирующее с запаздыванием (реальное дифференцирующее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7 – ЛЧХ звена д</w:t>
      </w:r>
      <w:r>
        <w:rPr>
          <w:rFonts w:cs="Times New Roman"/>
          <w:szCs w:val="28"/>
        </w:rPr>
        <w:t xml:space="preserve">ифференцирующего </w:t>
      </w:r>
      <w:r>
        <w:t>с запаздыванием</w:t>
      </w:r>
    </w:p>
    <w:p>
      <w:pPr>
        <w:ind w:firstLine="0"/>
        <w:rPr>
          <w:i/>
        </w:rPr>
      </w:pPr>
      <w:r>
        <w:tab/>
      </w:r>
      <w:r>
        <w:t xml:space="preserve">ЛАЧХ представляет нарастающую со скоростью 20 дБ/дек прямую имеющую перегиб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 xml:space="preserve">T 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 </m:t>
        </m:r>
      </m:oMath>
      <w:r>
        <w:t xml:space="preserve">, после которого коэффициент усиления остаётся неизменным и имеет значения, до которого возросла прямая до момента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 Усиление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составляет </w:t>
      </w:r>
      <m:oMath>
        <m:r>
          <m:rPr/>
          <w:rPr>
            <w:rFonts w:ascii="Cambria Math" w:hAnsi="Cambria Math"/>
          </w:rPr>
          <m:t>−80+20lgK</m:t>
        </m:r>
      </m:oMath>
      <w:r>
        <w:t xml:space="preserve">, усиление при </w:t>
      </w:r>
      <m:oMath>
        <m:r>
          <m:rPr/>
          <w:rPr>
            <w:rFonts w:ascii="Cambria Math" w:hAnsi="Cambria Math"/>
          </w:rPr>
          <m:t>ω→∞</m:t>
        </m:r>
      </m:oMath>
      <w:r>
        <w:t xml:space="preserve"> равно константе.</w:t>
      </w:r>
    </w:p>
    <w:p>
      <w:pPr>
        <w:ind w:firstLine="0"/>
        <w:jc w:val="both"/>
      </w:pPr>
      <w:r>
        <w:tab/>
      </w:r>
      <w:r>
        <w:t xml:space="preserve">ЛФЧХ колебательного порядка изменяется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до </w:t>
      </w:r>
      <m:oMath>
        <m:r>
          <m:rPr/>
          <w:rPr>
            <w:rFonts w:ascii="Cambria Math" w:hAnsi="Cambria Math"/>
          </w:rPr>
          <m:t xml:space="preserve">0 </m:t>
        </m:r>
      </m:oMath>
      <w:r>
        <w:t xml:space="preserve">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</w:p>
    <w:p>
      <w:pPr>
        <w:spacing w:after="160"/>
        <w:ind w:firstLine="0"/>
        <w:jc w:val="both"/>
        <w:rPr>
          <w:lang w:val="en-US"/>
        </w:rPr>
      </w:pPr>
      <w:r>
        <w:t xml:space="preserve">Вывод: усиление низких часто хуже, чем высоких частот,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на 0 частоте, </w:t>
      </w:r>
      <w:r>
        <w:rPr>
          <w:lang w:val="en-US"/>
        </w:rPr>
        <w:t>c</w:t>
      </w:r>
      <w:r>
        <w:t xml:space="preserve"> увеличением частоты усиление стремится к константе; ЛФЧХ непостоянна и изменяется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до </w:t>
      </w:r>
      <m:oMath>
        <m:r>
          <m:rPr/>
          <w:rPr>
            <w:rFonts w:ascii="Cambria Math" w:hAnsi="Cambria Math"/>
          </w:rPr>
          <m:t>0</m:t>
        </m:r>
      </m:oMath>
      <w:r>
        <w:t xml:space="preserve">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p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Изодромное звено</w:t>
      </w:r>
    </w:p>
    <w:p>
      <w:pPr>
        <w:ind w:firstLine="708"/>
      </w:pPr>
      <w:r>
        <w:t>Описывается следующей передаточной функций:</w:t>
      </w:r>
    </w:p>
    <w:p>
      <w:pPr>
        <w:ind w:firstLine="708"/>
        <w:rPr>
          <w:lang w:val="en-US"/>
        </w:rPr>
      </w:pPr>
      <m:oMathPara>
        <m:oMath>
          <m:r>
            <m:rPr/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K(Ts+1)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>
      <w:pPr>
        <w:ind w:firstLine="708"/>
      </w:pPr>
      <w:r>
        <w:t xml:space="preserve">Экспериментально полученные характеристики при вариации параметров </w:t>
      </w:r>
      <w:r>
        <w:rPr>
          <w:lang w:val="en-US"/>
        </w:rPr>
        <w:t>K</w:t>
      </w:r>
      <w:r>
        <w:t xml:space="preserve">, </w:t>
      </w:r>
      <m:oMath>
        <m:r>
          <m:rPr/>
          <w:rPr>
            <w:rFonts w:ascii="Cambria Math" w:hAnsi="Cambria Math"/>
          </w:rPr>
          <m:t xml:space="preserve">T </m:t>
        </m:r>
      </m:oMath>
      <w:r>
        <w:t>звена представлены на рисунке 8: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25900" cy="3019425"/>
            <wp:effectExtent l="0" t="0" r="3175" b="0"/>
            <wp:docPr id="8" name="Изображение 8" descr="Изодром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Изодромно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8 – ЛЧХ изодромного звена</w:t>
      </w:r>
    </w:p>
    <w:p>
      <w:pPr>
        <w:ind w:firstLine="0"/>
        <w:rPr>
          <w:i/>
        </w:rPr>
      </w:pPr>
      <w:r>
        <w:tab/>
      </w:r>
      <w:r>
        <w:t xml:space="preserve">ЛАЧХ представляет прямую имеющую перегиб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, после которого имеется подъём 20 дБ/дек. При </w:t>
      </w:r>
      <m:oMath>
        <m:r>
          <m:rPr/>
          <w:rPr>
            <w:rFonts w:ascii="Cambria Math" w:hAnsi="Cambria Math"/>
          </w:rPr>
          <m:t>ω=0</m:t>
        </m:r>
      </m:oMath>
      <w:r>
        <w:t xml:space="preserve"> имеет значение 20</w:t>
      </w:r>
      <w:r>
        <w:rPr>
          <w:lang w:val="en-US"/>
        </w:rPr>
        <w:t>lgK</w:t>
      </w:r>
      <w:r>
        <w:t xml:space="preserve">, при </w:t>
      </w:r>
      <m:oMath>
        <m:r>
          <m:rPr/>
          <w:rPr>
            <w:rFonts w:ascii="Cambria Math" w:hAnsi="Cambria Math"/>
          </w:rPr>
          <m:t>ω=∞</m:t>
        </m:r>
      </m:oMath>
      <w:r>
        <w:t xml:space="preserve"> стремится к </w:t>
      </w:r>
      <m:oMath>
        <m:r>
          <m:rPr/>
          <w:rPr>
            <w:rFonts w:ascii="Cambria Math" w:hAnsi="Cambria Math"/>
          </w:rPr>
          <m:t>+∞</m:t>
        </m:r>
      </m:oMath>
      <w:r>
        <w:t>. Точка пересечения с осью частот (при 20</w:t>
      </w:r>
      <w:r>
        <w:rPr>
          <w:lang w:val="en-US"/>
        </w:rPr>
        <w:t>lgK</w:t>
      </w:r>
      <w:r>
        <w:t xml:space="preserve"> &lt; 0) удаляется при уменьшении </w:t>
      </w:r>
      <w:r>
        <w:rPr>
          <w:lang w:val="en-US"/>
        </w:rPr>
        <w:t>K</w:t>
      </w:r>
      <w:r>
        <w:t xml:space="preserve"> и уменьшении постоянной времени.</w:t>
      </w:r>
    </w:p>
    <w:p>
      <w:pPr>
        <w:ind w:firstLine="0"/>
      </w:pPr>
      <w:r>
        <w:tab/>
      </w:r>
      <w:r>
        <w:t xml:space="preserve">ЛФЧХ колебательного порядка изменяется от 0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 xml:space="preserve"> </m:t>
        </m:r>
      </m:oMath>
      <w:r>
        <w:t xml:space="preserve">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</w:p>
    <w:p>
      <w:pPr>
        <w:ind w:firstLine="708"/>
      </w:pPr>
      <w:r>
        <w:t xml:space="preserve">Вывод: усиление низких частот равно константе и полоса данного усиления тем шире, чем меньше постоянная времени, усиление высоких частот </w:t>
      </w:r>
      <m:oMath>
        <m:r>
          <m:rPr/>
          <w:rPr>
            <w:rFonts w:ascii="Cambria Math" w:hAnsi="Cambria Math"/>
          </w:rPr>
          <m:t>→ ∞</m:t>
        </m:r>
      </m:oMath>
      <w:r>
        <w:t xml:space="preserve"> при </w:t>
      </w:r>
      <m:oMath>
        <m:r>
          <m:rPr/>
          <w:rPr>
            <w:rFonts w:ascii="Cambria Math" w:hAnsi="Cambria Math"/>
          </w:rPr>
          <m:t>ω→ ∞</m:t>
        </m:r>
      </m:oMath>
      <w:r>
        <w:t xml:space="preserve">, при увеличении/уменьшении параметра </w:t>
      </w:r>
      <w:r>
        <w:rPr>
          <w:lang w:val="en-US"/>
        </w:rPr>
        <w:t>K</w:t>
      </w:r>
      <w:r>
        <w:t xml:space="preserve"> наблюдается увеличение/уменьшение усиления в промежутке от 0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; ЛФЧХ непостоянна и изменяется от 0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с перегибом в точке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.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521A"/>
    <w:rsid w:val="0003409D"/>
    <w:rsid w:val="00040498"/>
    <w:rsid w:val="000A340F"/>
    <w:rsid w:val="0011547C"/>
    <w:rsid w:val="001D7558"/>
    <w:rsid w:val="00323695"/>
    <w:rsid w:val="00473705"/>
    <w:rsid w:val="004D00DC"/>
    <w:rsid w:val="005413EF"/>
    <w:rsid w:val="0054335A"/>
    <w:rsid w:val="00566E51"/>
    <w:rsid w:val="00576B66"/>
    <w:rsid w:val="005A2E1C"/>
    <w:rsid w:val="006451A7"/>
    <w:rsid w:val="00665FF2"/>
    <w:rsid w:val="00700A94"/>
    <w:rsid w:val="0079064A"/>
    <w:rsid w:val="00800F12"/>
    <w:rsid w:val="00895C5D"/>
    <w:rsid w:val="009662C8"/>
    <w:rsid w:val="009B0D35"/>
    <w:rsid w:val="00AB0F2D"/>
    <w:rsid w:val="00C2688F"/>
    <w:rsid w:val="00C764F1"/>
    <w:rsid w:val="00CC0FC0"/>
    <w:rsid w:val="00D01694"/>
    <w:rsid w:val="00D43F80"/>
    <w:rsid w:val="00E64084"/>
    <w:rsid w:val="00F33502"/>
    <w:rsid w:val="00F3521A"/>
    <w:rsid w:val="079053F3"/>
    <w:rsid w:val="7897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qFormat="1" w:unhideWhenUsed="0" w:uiPriority="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Placeholder Text"/>
  </w:latentStyles>
  <w:style w:type="paragraph" w:default="1" w:styleId="1">
    <w:name w:val="Normal"/>
    <w:qFormat/>
    <w:uiPriority w:val="0"/>
    <w:pPr>
      <w:spacing w:after="0" w:line="259" w:lineRule="auto"/>
      <w:ind w:firstLine="709"/>
      <w:jc w:val="both"/>
    </w:pPr>
    <w:rPr>
      <w:rFonts w:ascii="Times New Roman" w:hAnsi="Times New Roman" w:eastAsia="Yu Gothic Medium" w:cstheme="majorBidi"/>
      <w:sz w:val="28"/>
      <w:lang w:val="ru-RU" w:eastAsia="ru-RU" w:bidi="ar-SA"/>
    </w:rPr>
  </w:style>
  <w:style w:type="paragraph" w:styleId="2">
    <w:name w:val="heading 1"/>
    <w:qFormat/>
    <w:uiPriority w:val="0"/>
    <w:pPr>
      <w:spacing w:before="140" w:after="140" w:line="0" w:lineRule="atLeast"/>
      <w:jc w:val="center"/>
      <w:outlineLvl w:val="0"/>
    </w:pPr>
    <w:rPr>
      <w:rFonts w:ascii="Times New Roman" w:hAnsi="Times New Roman" w:eastAsia="Yu Gothic Medium" w:cstheme="majorBidi"/>
      <w:b/>
      <w:sz w:val="28"/>
      <w:lang w:val="ru-RU" w:eastAsia="ru-RU" w:bidi="ar-SA"/>
    </w:rPr>
  </w:style>
  <w:style w:type="paragraph" w:styleId="3">
    <w:name w:val="heading 2"/>
    <w:qFormat/>
    <w:uiPriority w:val="0"/>
    <w:pPr>
      <w:spacing w:before="140" w:after="140" w:line="0" w:lineRule="atLeast"/>
      <w:outlineLvl w:val="1"/>
    </w:pPr>
    <w:rPr>
      <w:rFonts w:ascii="Helvetica" w:hAnsi="Helvetica" w:eastAsia="Yu Gothic Medium" w:cstheme="majorBidi"/>
      <w:b/>
      <w:sz w:val="26"/>
      <w:lang w:val="ru-RU" w:eastAsia="ru-RU" w:bidi="ar-SA"/>
    </w:rPr>
  </w:style>
  <w:style w:type="paragraph" w:styleId="4">
    <w:name w:val="heading 3"/>
    <w:qFormat/>
    <w:uiPriority w:val="0"/>
    <w:pPr>
      <w:spacing w:before="140" w:after="140" w:line="0" w:lineRule="atLeast"/>
      <w:outlineLvl w:val="2"/>
    </w:pPr>
    <w:rPr>
      <w:rFonts w:ascii="Helvetica" w:hAnsi="Helvetica" w:eastAsia="Yu Gothic Medium" w:cstheme="majorBidi"/>
      <w:b/>
      <w:sz w:val="22"/>
      <w:lang w:val="ru-RU" w:eastAsia="ru-RU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qFormat/>
    <w:uiPriority w:val="0"/>
    <w:rPr>
      <w:rFonts w:eastAsia="Yu Gothic Medium" w:cstheme="majorBidi"/>
      <w:color w:val="005FCE"/>
    </w:rPr>
  </w:style>
  <w:style w:type="paragraph" w:styleId="9">
    <w:name w:val="toc 1"/>
    <w:qFormat/>
    <w:uiPriority w:val="0"/>
    <w:pPr>
      <w:spacing w:after="0" w:line="0" w:lineRule="atLeast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0">
    <w:name w:val="toc 3"/>
    <w:qFormat/>
    <w:uiPriority w:val="0"/>
    <w:pPr>
      <w:spacing w:after="0" w:line="0" w:lineRule="atLeast"/>
      <w:ind w:left="480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1">
    <w:name w:val="toc 2"/>
    <w:qFormat/>
    <w:uiPriority w:val="0"/>
    <w:pPr>
      <w:spacing w:after="0" w:line="0" w:lineRule="atLeast"/>
      <w:ind w:left="240"/>
      <w:contextualSpacing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styleId="12">
    <w:name w:val="Title"/>
    <w:qFormat/>
    <w:uiPriority w:val="0"/>
    <w:pPr>
      <w:spacing w:before="140" w:after="140" w:line="0" w:lineRule="atLeast"/>
    </w:pPr>
    <w:rPr>
      <w:rFonts w:ascii="Helvetica" w:hAnsi="Helvetica" w:eastAsia="Yu Gothic Medium" w:cstheme="majorBidi"/>
      <w:color w:val="D55000"/>
      <w:sz w:val="36"/>
      <w:lang w:val="ru-RU" w:eastAsia="ru-RU" w:bidi="ar-SA"/>
    </w:rPr>
  </w:style>
  <w:style w:type="paragraph" w:styleId="13">
    <w:name w:val="List"/>
    <w:qFormat/>
    <w:uiPriority w:val="0"/>
    <w:pPr>
      <w:spacing w:before="280" w:beforeAutospacing="1" w:after="280" w:afterAutospacing="1" w:line="259" w:lineRule="auto"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customStyle="1" w:styleId="14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="Yu Gothic Medium" w:cstheme="majorBidi"/>
      <w:sz w:val="21"/>
      <w:lang w:val="ru-RU" w:eastAsia="ru-RU" w:bidi="ar-SA"/>
    </w:rPr>
  </w:style>
  <w:style w:type="paragraph" w:customStyle="1" w:styleId="15">
    <w:name w:val="Text"/>
    <w:qFormat/>
    <w:uiPriority w:val="0"/>
    <w:pPr>
      <w:spacing w:before="210" w:after="210" w:line="259" w:lineRule="auto"/>
    </w:pPr>
    <w:rPr>
      <w:rFonts w:ascii="Helvetica" w:hAnsi="Helvetica" w:eastAsia="Yu Gothic Medium" w:cstheme="majorBidi"/>
      <w:sz w:val="21"/>
      <w:lang w:val="ru-RU" w:eastAsia="ru-RU" w:bidi="ar-SA"/>
    </w:rPr>
  </w:style>
  <w:style w:type="paragraph" w:customStyle="1" w:styleId="16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="Yu Gothic Medium" w:cstheme="majorBidi"/>
      <w:sz w:val="21"/>
      <w:lang w:val="ru-RU" w:eastAsia="ru-RU" w:bidi="ar-SA"/>
    </w:rPr>
  </w:style>
  <w:style w:type="paragraph" w:customStyle="1" w:styleId="17">
    <w:name w:val="TOC Heading"/>
    <w:qFormat/>
    <w:uiPriority w:val="0"/>
    <w:pPr>
      <w:spacing w:before="280" w:after="140" w:line="0" w:lineRule="atLeast"/>
    </w:pPr>
    <w:rPr>
      <w:rFonts w:ascii="Helvetica" w:hAnsi="Helvetica" w:eastAsia="Yu Gothic Medium" w:cstheme="majorBidi"/>
      <w:b/>
      <w:sz w:val="29"/>
      <w:lang w:val="ru-RU" w:eastAsia="ru-RU" w:bidi="ar-SA"/>
    </w:rPr>
  </w:style>
  <w:style w:type="character" w:customStyle="1" w:styleId="18">
    <w:name w:val="Дз заголовок Знак"/>
    <w:basedOn w:val="5"/>
    <w:link w:val="19"/>
    <w:qFormat/>
    <w:locked/>
    <w:uiPriority w:val="0"/>
    <w:rPr>
      <w:sz w:val="28"/>
    </w:rPr>
  </w:style>
  <w:style w:type="paragraph" w:customStyle="1" w:styleId="19">
    <w:name w:val="Дз заголовок"/>
    <w:basedOn w:val="1"/>
    <w:link w:val="18"/>
    <w:qFormat/>
    <w:uiPriority w:val="0"/>
    <w:pPr>
      <w:spacing w:after="160" w:line="256" w:lineRule="auto"/>
      <w:jc w:val="center"/>
    </w:pPr>
    <w:rPr>
      <w:rFonts w:eastAsia="Times New Roman" w:cs="Times New Roman"/>
    </w:rPr>
  </w:style>
  <w:style w:type="character" w:styleId="20">
    <w:name w:val="Placeholder Text"/>
    <w:basedOn w:val="5"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1161</Words>
  <Characters>6622</Characters>
  <Lines>55</Lines>
  <Paragraphs>15</Paragraphs>
  <TotalTime>335</TotalTime>
  <ScaleCrop>false</ScaleCrop>
  <LinksUpToDate>false</LinksUpToDate>
  <CharactersWithSpaces>7768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2023-09-28T14:45:00Z</dcterms:created>
  <dc:creator>stepanfilimonov</dc:creator>
  <cp:lastModifiedBy>WPS_1696586965</cp:lastModifiedBy>
  <dcterms:modified xsi:type="dcterms:W3CDTF">2024-03-27T19:57:48Z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22666FBFA6A84D52B3F9D22AD8B0B75D_12</vt:lpwstr>
  </property>
</Properties>
</file>