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theme/theme1.xml" ContentType="application/vnd.openxmlformats-officedocument.theme+xml"/>
  <Override PartName="/word/media/image1.wmf" ContentType="image/x-wmf"/>
  <Override PartName="/word/media/image2.wmf" ContentType="image/x-wmf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«Специальное машиностроение»</w:t>
      </w:r>
    </w:p>
    <w:p>
      <w:pPr>
        <w:pStyle w:val="Normal"/>
        <w:pBdr>
          <w:bottom w:val="single" w:sz="12" w:space="1" w:color="000000"/>
        </w:pBdr>
        <w:spacing w:lineRule="auto" w:line="276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«Автономные информационные и управляющие системы»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№5(1)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«ОСНОВЫ ТЕОРИИ ЦЕПЕЙ»</w:t>
      </w:r>
    </w:p>
    <w:p>
      <w:pPr>
        <w:pStyle w:val="Normal"/>
        <w:spacing w:lineRule="auto" w:line="360" w:before="0" w:after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Переходные процессы в линейных электрических цепях </w:t>
      </w:r>
    </w:p>
    <w:p>
      <w:pPr>
        <w:pStyle w:val="Normal"/>
        <w:spacing w:lineRule="auto" w:line="360" w:before="0" w:after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первого порядка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Вариант №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6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Выполнил ст. группы РЛ6-41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Бабенко Г.А.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16"/>
          <w:szCs w:val="16"/>
          <w:lang w:eastAsia="ru-RU"/>
        </w:rPr>
        <w:t>Фамилия И.О</w:t>
      </w:r>
      <w:r>
        <w:rPr>
          <w:rFonts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Проверила проф. Сидоркина Ю.А.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Оценка в баллах_________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Москва, 202</w:t>
      </w:r>
      <w:r>
        <w:rPr>
          <w:rFonts w:cs="Times New Roman" w:ascii="Times New Roman" w:hAnsi="Times New Roman"/>
          <w:sz w:val="28"/>
          <w:szCs w:val="28"/>
          <w:lang w:eastAsia="ru-RU"/>
        </w:rPr>
        <w:t>1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и задачи работы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моделировать переходные процессы в линейных электрических цепях при наличии одного накопителя энергии в среде Microcap;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-установить влияние параметров исследуемой цепи на характер переходного процесса;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-исследовать и измерить параметры быстропротекающих периодических несинусоидальных токов и напряжений.</w:t>
      </w:r>
    </w:p>
    <w:p>
      <w:pPr>
        <w:pStyle w:val="Normal"/>
        <w:tabs>
          <w:tab w:val="clear" w:pos="708"/>
          <w:tab w:val="center" w:pos="4677" w:leader="none"/>
        </w:tabs>
        <w:spacing w:lineRule="auto" w:line="288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center" w:pos="4677" w:leader="none"/>
        </w:tabs>
        <w:spacing w:lineRule="auto" w:line="288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Подготовительное задание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80" w:leader="none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Какова причина возникновения переходных процессов?</w:t>
      </w:r>
    </w:p>
    <w:p>
      <w:pPr>
        <w:pStyle w:val="Normal"/>
        <w:tabs>
          <w:tab w:val="clear" w:pos="708"/>
          <w:tab w:val="left" w:pos="1180" w:leader="none"/>
        </w:tabs>
        <w:ind w:left="1185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цепях с реактивными элементами установившийся режим всегда сопровождается накоплением некоторого количества энергии. В момент коммутации начинается ее перераспределение для установления нового режима работы. Именно невозможность мгновенного перераспределения энергии и приводит к возникновению переходных процессов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80" w:leader="none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формулируются законы коммутации?</w:t>
      </w:r>
    </w:p>
    <w:p>
      <w:pPr>
        <w:pStyle w:val="Normal"/>
        <w:ind w:first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 закон коммутации: </w:t>
      </w:r>
      <w:r>
        <w:rPr>
          <w:rFonts w:cs="Times New Roman" w:ascii="Times New Roman" w:hAnsi="Times New Roman"/>
          <w:b/>
          <w:sz w:val="28"/>
          <w:szCs w:val="28"/>
        </w:rPr>
        <w:t>Ток на индуктивном элементе изменяется только непрерывным образом: ток до начала коммутации равен току после коммутации и совпадает с током в момент коммутации:</w:t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object>
          <v:shape id="ole_rId2" style="width:128.35pt;height:21.2pt" o:ole="">
            <v:imagedata r:id="rId3" o:title=""/>
          </v:shape>
          <o:OLEObject Type="Embed" ProgID="Equation.DSMT4" ShapeID="ole_rId2" DrawAspect="Content" ObjectID="_1524553227" r:id="rId2"/>
        </w:objec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 закон коммутации: </w:t>
      </w:r>
      <w:r>
        <w:rPr>
          <w:rFonts w:cs="Times New Roman" w:ascii="Times New Roman" w:hAnsi="Times New Roman"/>
          <w:b/>
          <w:sz w:val="28"/>
          <w:szCs w:val="28"/>
        </w:rPr>
        <w:t>Напряжение на ёмкостном элементе изменяется только непре</w:t>
        <w:softHyphen/>
        <w:t>рывным образом: напряжение до начала коммутации равно напряже</w:t>
        <w:softHyphen/>
        <w:t>нию после неё и совпадает с напряжением в момент коммутации:</w:t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object>
          <v:shape id="ole_rId4" style="width:141.75pt;height:21.2pt" o:ole="">
            <v:imagedata r:id="rId5" o:title=""/>
          </v:shape>
          <o:OLEObject Type="Embed" ProgID="Equation.DSMT4" ShapeID="ole_rId4" DrawAspect="Content" ObjectID="_1177784212" r:id="rId4"/>
        </w:objec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80" w:leader="none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Какой характер имеет переходный процесс с одним накопителем энергии?</w:t>
      </w:r>
    </w:p>
    <w:p>
      <w:pPr>
        <w:pStyle w:val="Normal"/>
        <w:tabs>
          <w:tab w:val="clear" w:pos="708"/>
          <w:tab w:val="left" w:pos="1180" w:leader="none"/>
        </w:tabs>
        <w:ind w:left="1185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Переходный процесс с одним накопителем энергии описывается дифференциальным уравнением первого порядка. Порядок уравнения переходного процесса соответствует количеству реактивных элементов в цепи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80" w:leader="none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Что называется постоянной времени переходного процесса?</w:t>
      </w:r>
    </w:p>
    <w:p>
      <w:pPr>
        <w:pStyle w:val="Normal"/>
        <w:tabs>
          <w:tab w:val="clear" w:pos="708"/>
          <w:tab w:val="center" w:pos="4677" w:leader="none"/>
        </w:tabs>
        <w:spacing w:lineRule="auto" w:line="288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Постоянная времени переходного процесса - промежуток време</w:t>
        <w:softHyphen/>
        <w:t>ни, за который свободная энергия в цепи изменяется в е раз по сравнению со своим исходным значением.</w:t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</w:t>
      </w:r>
      <w:r>
        <w:rPr>
          <w:rFonts w:cs="Times New Roman" w:ascii="Times New Roman" w:hAnsi="Times New Roman"/>
          <w:sz w:val="28"/>
          <w:szCs w:val="28"/>
          <w:lang w:val="en-US"/>
        </w:rPr>
        <w:t>RL</w:t>
      </w:r>
      <w:r>
        <w:rPr>
          <w:rFonts w:cs="Times New Roman" w:ascii="Times New Roman" w:hAnsi="Times New Roman"/>
          <w:sz w:val="28"/>
          <w:szCs w:val="28"/>
        </w:rPr>
        <w:t xml:space="preserve">- и </w:t>
      </w:r>
      <w:r>
        <w:rPr>
          <w:rFonts w:cs="Times New Roman" w:ascii="Times New Roman" w:hAnsi="Times New Roman"/>
          <w:sz w:val="28"/>
          <w:szCs w:val="28"/>
          <w:lang w:val="en-US"/>
        </w:rPr>
        <w:t>RC</w:t>
      </w:r>
      <w:r>
        <w:rPr>
          <w:rFonts w:cs="Times New Roman" w:ascii="Times New Roman" w:hAnsi="Times New Roman"/>
          <w:sz w:val="28"/>
          <w:szCs w:val="28"/>
        </w:rPr>
        <w:t>-цепей, по параметрам, ука</w:t>
        <w:softHyphen/>
        <w:t>занным в табл. 5.1, определить постоянные времени τ. Рассчитать длитель</w:t>
        <w:softHyphen/>
        <w:t xml:space="preserve">ности импульса, паузы и частоты следования импульсов, считая, что 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vertAlign w:val="subscript"/>
        </w:rPr>
        <w:t>и</w:t>
      </w:r>
      <w:r>
        <w:rPr>
          <w:rFonts w:cs="Times New Roman" w:ascii="Times New Roman" w:hAnsi="Times New Roman"/>
          <w:sz w:val="28"/>
          <w:szCs w:val="28"/>
        </w:rPr>
        <w:t>=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vertAlign w:val="subscript"/>
        </w:rPr>
        <w:t>п</w:t>
      </w:r>
      <w:r>
        <w:rPr>
          <w:rFonts w:cs="Times New Roman" w:ascii="Times New Roman" w:hAnsi="Times New Roman"/>
          <w:sz w:val="28"/>
          <w:szCs w:val="28"/>
        </w:rPr>
        <w:t xml:space="preserve">=5τ, Т = 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vertAlign w:val="subscript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+ 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vertAlign w:val="subscript"/>
        </w:rPr>
        <w:t>п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= 1/Т. Рассчитанные параметры импульсов занести в табл. 5.2 (расчетные), значения τ - в табл. 5.3 в графу «Первый». Используя результаты расчёта и данные табл. 5.1, построить в масштабе графики токов и напря</w:t>
        <w:softHyphen/>
        <w:t>жений, аналогичные изображенным на рис. 5.2 и 5.3.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</w:rPr>
        <w:t>С-цепь: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</w:t>
      </w:r>
      <w:r>
        <w:rPr>
          <w:rFonts w:cs="Times New Roman" w:ascii="Times New Roman" w:hAnsi="Times New Roman"/>
          <w:sz w:val="28"/>
          <w:szCs w:val="28"/>
        </w:rPr>
        <w:t xml:space="preserve">=10В; </w:t>
      </w:r>
      <w:r>
        <w:rPr>
          <w:rFonts w:cs="Times New Roman" w:ascii="Times New Roman" w:hAnsi="Times New Roman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</w:rPr>
        <w:t>=1000 Ом; С=3000 пФ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τ=</w:t>
      </w:r>
      <w:r>
        <w:rPr>
          <w:rFonts w:cs="Times New Roman" w:ascii="Times New Roman" w:hAnsi="Times New Roman"/>
          <w:sz w:val="28"/>
          <w:szCs w:val="28"/>
          <w:lang w:val="en-US"/>
        </w:rPr>
        <w:t>RC</w:t>
      </w:r>
      <w:r>
        <w:rPr>
          <w:rFonts w:cs="Times New Roman" w:ascii="Times New Roman" w:hAnsi="Times New Roman"/>
          <w:sz w:val="28"/>
          <w:szCs w:val="28"/>
        </w:rPr>
        <w:t>=1000*3000*10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-12</w:t>
      </w:r>
      <w:r>
        <w:rPr>
          <w:rFonts w:cs="Times New Roman" w:ascii="Times New Roman" w:hAnsi="Times New Roman"/>
          <w:sz w:val="28"/>
          <w:szCs w:val="28"/>
        </w:rPr>
        <w:t>=3*10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-6</w:t>
      </w:r>
      <w:r>
        <w:rPr>
          <w:rFonts w:cs="Times New Roman" w:ascii="Times New Roman" w:hAnsi="Times New Roman"/>
          <w:sz w:val="28"/>
          <w:szCs w:val="28"/>
        </w:rPr>
        <w:t>=3 мкс;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vertAlign w:val="subscript"/>
        </w:rPr>
        <w:t>и</w:t>
      </w:r>
      <w:r>
        <w:rPr>
          <w:rFonts w:cs="Times New Roman" w:ascii="Times New Roman" w:hAnsi="Times New Roman"/>
          <w:sz w:val="28"/>
          <w:szCs w:val="28"/>
        </w:rPr>
        <w:t>=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vertAlign w:val="subscript"/>
        </w:rPr>
        <w:t>п</w:t>
      </w:r>
      <w:r>
        <w:rPr>
          <w:rFonts w:cs="Times New Roman" w:ascii="Times New Roman" w:hAnsi="Times New Roman"/>
          <w:sz w:val="28"/>
          <w:szCs w:val="28"/>
        </w:rPr>
        <w:t>=5τ=5*3*10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-6</w:t>
      </w:r>
      <w:r>
        <w:rPr>
          <w:rFonts w:cs="Times New Roman" w:ascii="Times New Roman" w:hAnsi="Times New Roman"/>
          <w:sz w:val="28"/>
          <w:szCs w:val="28"/>
        </w:rPr>
        <w:t>=15*10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-6</w:t>
      </w:r>
      <w:r>
        <w:rPr>
          <w:rFonts w:cs="Times New Roman" w:ascii="Times New Roman" w:hAnsi="Times New Roman"/>
          <w:sz w:val="28"/>
          <w:szCs w:val="28"/>
        </w:rPr>
        <w:t>=15 мкс;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 = 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vertAlign w:val="subscript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+ 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vertAlign w:val="subscript"/>
        </w:rPr>
        <w:t>п</w:t>
      </w:r>
      <w:r>
        <w:rPr>
          <w:rFonts w:cs="Times New Roman" w:ascii="Times New Roman" w:hAnsi="Times New Roman"/>
          <w:sz w:val="28"/>
          <w:szCs w:val="28"/>
        </w:rPr>
        <w:t>=2*15 мкс=30 мкс;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= 1/Т=1/30*10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-6</w:t>
      </w:r>
      <w:r>
        <w:rPr>
          <w:rFonts w:cs="Times New Roman" w:ascii="Times New Roman" w:hAnsi="Times New Roman"/>
          <w:sz w:val="28"/>
          <w:szCs w:val="28"/>
        </w:rPr>
        <w:t>=0,033*10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6</w:t>
      </w:r>
      <w:r>
        <w:rPr>
          <w:rFonts w:cs="Times New Roman" w:ascii="Times New Roman" w:hAnsi="Times New Roman"/>
          <w:sz w:val="28"/>
          <w:szCs w:val="28"/>
        </w:rPr>
        <w:t>Гц=0,033 МГц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RL</w:t>
      </w:r>
      <w:r>
        <w:rPr>
          <w:rFonts w:cs="Times New Roman" w:ascii="Times New Roman" w:hAnsi="Times New Roman"/>
          <w:sz w:val="28"/>
          <w:szCs w:val="28"/>
        </w:rPr>
        <w:t>цепь: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</w:t>
      </w:r>
      <w:r>
        <w:rPr>
          <w:rFonts w:cs="Times New Roman" w:ascii="Times New Roman" w:hAnsi="Times New Roman"/>
          <w:sz w:val="28"/>
          <w:szCs w:val="28"/>
        </w:rPr>
        <w:t xml:space="preserve">=10В; </w:t>
      </w:r>
      <w:r>
        <w:rPr>
          <w:rFonts w:cs="Times New Roman" w:ascii="Times New Roman" w:hAnsi="Times New Roman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</w:rPr>
        <w:t xml:space="preserve">=200 Ом; </w:t>
      </w:r>
      <w:r>
        <w:rPr>
          <w:rFonts w:cs="Times New Roman" w:ascii="Times New Roman" w:hAnsi="Times New Roman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sz w:val="28"/>
          <w:szCs w:val="28"/>
        </w:rPr>
        <w:t>=900 мкГн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τ=</w:t>
      </w:r>
      <w:r>
        <w:rPr>
          <w:rFonts w:cs="Times New Roman" w:ascii="Times New Roman" w:hAnsi="Times New Roman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</w:rPr>
        <w:t>=(900*10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-6</w:t>
      </w:r>
      <w:r>
        <w:rPr>
          <w:rFonts w:cs="Times New Roman" w:ascii="Times New Roman" w:hAnsi="Times New Roman"/>
          <w:sz w:val="28"/>
          <w:szCs w:val="28"/>
        </w:rPr>
        <w:t>/200=4.5 мкс;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vertAlign w:val="subscript"/>
        </w:rPr>
        <w:t>и</w:t>
      </w:r>
      <w:r>
        <w:rPr>
          <w:rFonts w:cs="Times New Roman" w:ascii="Times New Roman" w:hAnsi="Times New Roman"/>
          <w:sz w:val="28"/>
          <w:szCs w:val="28"/>
        </w:rPr>
        <w:t>=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vertAlign w:val="subscript"/>
        </w:rPr>
        <w:t>п</w:t>
      </w:r>
      <w:r>
        <w:rPr>
          <w:rFonts w:cs="Times New Roman" w:ascii="Times New Roman" w:hAnsi="Times New Roman"/>
          <w:sz w:val="28"/>
          <w:szCs w:val="28"/>
        </w:rPr>
        <w:t>=5τ=5*4.5</w:t>
      </w:r>
      <w:r>
        <w:rPr>
          <w:rFonts w:cs="Times New Roman" w:ascii="Times New Roman" w:hAnsi="Times New Roman"/>
          <w:sz w:val="28"/>
          <w:szCs w:val="28"/>
          <w:vertAlign w:val="superscript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мкс=22.5 мкс;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 = 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vertAlign w:val="subscript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+ 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vertAlign w:val="subscript"/>
        </w:rPr>
        <w:t>п</w:t>
      </w:r>
      <w:r>
        <w:rPr>
          <w:rFonts w:cs="Times New Roman" w:ascii="Times New Roman" w:hAnsi="Times New Roman"/>
          <w:sz w:val="28"/>
          <w:szCs w:val="28"/>
        </w:rPr>
        <w:t>=2*22.5мкс=45 мкс;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 xml:space="preserve"> = 1/Т=1/45*10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-6</w:t>
      </w:r>
      <w:r>
        <w:rPr>
          <w:rFonts w:cs="Times New Roman" w:ascii="Times New Roman" w:hAnsi="Times New Roman"/>
          <w:sz w:val="28"/>
          <w:szCs w:val="28"/>
        </w:rPr>
        <w:t>=0,022*10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6</w:t>
      </w:r>
      <w:r>
        <w:rPr>
          <w:rFonts w:cs="Times New Roman" w:ascii="Times New Roman" w:hAnsi="Times New Roman"/>
          <w:sz w:val="28"/>
          <w:szCs w:val="28"/>
        </w:rPr>
        <w:t>Гц=0,022 МГц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5.2</w:t>
      </w:r>
    </w:p>
    <w:p>
      <w:pPr>
        <w:pStyle w:val="Normal"/>
        <w:tabs>
          <w:tab w:val="clear" w:pos="708"/>
          <w:tab w:val="left" w:pos="5688" w:leader="underscor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Параметры импульсов</w:t>
      </w:r>
    </w:p>
    <w:tbl>
      <w:tblPr>
        <w:tblW w:w="9224" w:type="dxa"/>
        <w:jc w:val="left"/>
        <w:tblInd w:w="-8" w:type="dxa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1143"/>
        <w:gridCol w:w="1701"/>
        <w:gridCol w:w="1277"/>
        <w:gridCol w:w="1133"/>
        <w:gridCol w:w="1277"/>
        <w:gridCol w:w="1276"/>
        <w:gridCol w:w="1416"/>
      </w:tblGrid>
      <w:tr>
        <w:trPr>
          <w:trHeight w:val="356" w:hRule="atLeast"/>
        </w:trPr>
        <w:tc>
          <w:tcPr>
            <w:tcW w:w="114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Цепь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Параметры</w:t>
            </w:r>
          </w:p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импульсов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f,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Гц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U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, В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Длительность, мкс</w:t>
            </w:r>
          </w:p>
        </w:tc>
      </w:tr>
      <w:tr>
        <w:trPr>
          <w:trHeight w:val="324" w:hRule="atLeast"/>
        </w:trPr>
        <w:tc>
          <w:tcPr>
            <w:tcW w:w="1143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701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277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3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t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и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t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п</w:t>
            </w:r>
          </w:p>
        </w:tc>
      </w:tr>
      <w:tr>
        <w:trPr>
          <w:trHeight w:val="324" w:hRule="atLeast"/>
        </w:trPr>
        <w:tc>
          <w:tcPr>
            <w:tcW w:w="114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RL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Расчётные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0,0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22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*10</w:t>
            </w: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  <w:lang w:val="en-US"/>
              </w:rPr>
              <w:t>6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45 мкс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22.5 мкс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22.5 мкс</w:t>
            </w:r>
          </w:p>
        </w:tc>
      </w:tr>
      <w:tr>
        <w:trPr>
          <w:trHeight w:val="335" w:hRule="atLeast"/>
        </w:trPr>
        <w:tc>
          <w:tcPr>
            <w:tcW w:w="1143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Измеренные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0,0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22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*10</w:t>
            </w: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  <w:lang w:val="en-US"/>
              </w:rPr>
              <w:t>6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45 мкс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22.5 мкс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22.5 мкс</w:t>
            </w:r>
          </w:p>
        </w:tc>
      </w:tr>
      <w:tr>
        <w:trPr>
          <w:trHeight w:val="324" w:hRule="atLeast"/>
        </w:trPr>
        <w:tc>
          <w:tcPr>
            <w:tcW w:w="114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Расчётные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0,033*10</w:t>
            </w: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30 мкс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15 мкс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15 мкс</w:t>
            </w:r>
          </w:p>
        </w:tc>
      </w:tr>
      <w:tr>
        <w:trPr>
          <w:trHeight w:val="349" w:hRule="atLeast"/>
        </w:trPr>
        <w:tc>
          <w:tcPr>
            <w:tcW w:w="114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Измеренные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0,033*10</w:t>
            </w: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30 мкс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15 мкс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15 мкс</w:t>
            </w:r>
          </w:p>
        </w:tc>
      </w:tr>
    </w:tbl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5.3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Опытные и расчётные данные исследования переходных процессов</w:t>
      </w:r>
    </w:p>
    <w:tbl>
      <w:tblPr>
        <w:tblW w:w="9225" w:type="dxa"/>
        <w:jc w:val="left"/>
        <w:tblInd w:w="-8" w:type="dxa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798"/>
        <w:gridCol w:w="1509"/>
        <w:gridCol w:w="666"/>
        <w:gridCol w:w="857"/>
        <w:gridCol w:w="943"/>
        <w:gridCol w:w="766"/>
        <w:gridCol w:w="739"/>
        <w:gridCol w:w="1103"/>
        <w:gridCol w:w="1843"/>
      </w:tblGrid>
      <w:tr>
        <w:trPr>
          <w:trHeight w:val="659" w:hRule="atLeast"/>
        </w:trPr>
        <w:tc>
          <w:tcPr>
            <w:tcW w:w="79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Цепь</w:t>
            </w:r>
          </w:p>
        </w:tc>
        <w:tc>
          <w:tcPr>
            <w:tcW w:w="150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Номер</w:t>
            </w:r>
          </w:p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опыта</w:t>
            </w:r>
          </w:p>
        </w:tc>
        <w:tc>
          <w:tcPr>
            <w:tcW w:w="246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Параметры цепи</w:t>
            </w:r>
          </w:p>
        </w:tc>
        <w:tc>
          <w:tcPr>
            <w:tcW w:w="2608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Постоянная времени, мкс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Номер</w:t>
            </w:r>
          </w:p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осциллограммы</w:t>
            </w:r>
          </w:p>
        </w:tc>
      </w:tr>
      <w:tr>
        <w:trPr>
          <w:trHeight w:val="328" w:hRule="atLeast"/>
        </w:trPr>
        <w:tc>
          <w:tcPr>
            <w:tcW w:w="798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09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R,</w:t>
            </w:r>
          </w:p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Ом</w:t>
            </w:r>
          </w:p>
        </w:tc>
        <w:tc>
          <w:tcPr>
            <w:tcW w:w="85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L,</w:t>
            </w:r>
          </w:p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мкГн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с,</w:t>
            </w:r>
          </w:p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нФ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Расчёт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Опыт</w:t>
            </w:r>
          </w:p>
        </w:tc>
        <w:tc>
          <w:tcPr>
            <w:tcW w:w="1843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28" w:hRule="atLeast"/>
        </w:trPr>
        <w:tc>
          <w:tcPr>
            <w:tcW w:w="798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09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66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57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43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τ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τ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τ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843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7" w:hRule="atLeast"/>
        </w:trPr>
        <w:tc>
          <w:tcPr>
            <w:tcW w:w="79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RL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Первый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4,5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4,43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4,605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</w:p>
        </w:tc>
      </w:tr>
      <w:tr>
        <w:trPr>
          <w:trHeight w:val="317" w:hRule="atLeast"/>
        </w:trPr>
        <w:tc>
          <w:tcPr>
            <w:tcW w:w="798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Второй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8</w:t>
            </w:r>
            <w:bookmarkStart w:id="0" w:name="_GoBack"/>
            <w:bookmarkEnd w:id="0"/>
            <w:r>
              <w:rPr>
                <w:rFonts w:cs="Times New Roman" w:ascii="Times New Roman" w:hAnsi="Times New Roman"/>
                <w:sz w:val="28"/>
                <w:szCs w:val="28"/>
              </w:rPr>
              <w:t>,768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8,95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</w:t>
            </w:r>
          </w:p>
        </w:tc>
      </w:tr>
      <w:tr>
        <w:trPr>
          <w:trHeight w:val="320" w:hRule="atLeast"/>
        </w:trPr>
        <w:tc>
          <w:tcPr>
            <w:tcW w:w="79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RC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Первый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3,1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</w:p>
        </w:tc>
      </w:tr>
      <w:tr>
        <w:trPr>
          <w:trHeight w:val="356" w:hRule="atLeast"/>
        </w:trPr>
        <w:tc>
          <w:tcPr>
            <w:tcW w:w="79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Второй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5,1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Опыт 1 </w:t>
      </w:r>
      <w:r>
        <w:rPr>
          <w:rFonts w:cs="Times New Roman" w:ascii="Times New Roman" w:hAnsi="Times New Roman"/>
          <w:sz w:val="28"/>
          <w:szCs w:val="28"/>
          <w:lang w:val="en-US"/>
        </w:rPr>
        <w:t>RL: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8045" cy="334645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947560" cy="3345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63.5pt;width:468.25pt;height:263.4pt;mso-position-vertical:top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8045" cy="3346450"/>
                <wp:effectExtent l="0" t="0" r="0" b="0"/>
                <wp:docPr id="2" name="Рисунок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5947560" cy="3345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Рисунок 1" stroked="f" style="position:absolute;margin-left:0pt;margin-top:-263.5pt;width:468.25pt;height:263.4pt;mso-position-vertical:top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Опыт 2 </w:t>
      </w:r>
      <w:r>
        <w:rPr>
          <w:rFonts w:cs="Times New Roman" w:ascii="Times New Roman" w:hAnsi="Times New Roman"/>
          <w:sz w:val="28"/>
          <w:szCs w:val="28"/>
          <w:lang w:val="en-US"/>
        </w:rPr>
        <w:t>RL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8045" cy="334645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5947560" cy="3345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63.5pt;width:468.25pt;height:263.4pt;mso-position-vertical:top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8045" cy="334645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5947560" cy="3345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63.5pt;width:468.25pt;height:263.4pt;mso-position-vertical:top" type="shapetype_75">
                <v:imagedata r:id="rId9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Опыт 1 цепь </w:t>
      </w:r>
      <w:r>
        <w:rPr>
          <w:rFonts w:cs="Times New Roman" w:ascii="Times New Roman" w:hAnsi="Times New Roman"/>
          <w:sz w:val="28"/>
          <w:szCs w:val="28"/>
          <w:lang w:val="en-US"/>
        </w:rPr>
        <w:t>RC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8045" cy="3346450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5947560" cy="3345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63.5pt;width:468.25pt;height:263.4pt;mso-position-vertical:top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8045" cy="3346450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5947560" cy="3345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63.5pt;width:468.25pt;height:263.4pt;mso-position-vertical:top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Опыт 2 цепь </w:t>
      </w:r>
      <w:r>
        <w:rPr>
          <w:rFonts w:cs="Times New Roman" w:ascii="Times New Roman" w:hAnsi="Times New Roman"/>
          <w:sz w:val="28"/>
          <w:szCs w:val="28"/>
          <w:lang w:val="en-US"/>
        </w:rPr>
        <w:t>RC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8045" cy="3346450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5947560" cy="3345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63.5pt;width:468.25pt;height:263.4pt;mso-position-vertical:top" type="shapetype_75">
                <v:imagedata r:id="rId1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360" w:before="0" w:after="0"/>
        <w:rPr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5948045" cy="3346450"/>
                <wp:effectExtent l="0" t="0" r="0" b="0"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5947560" cy="3345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63.5pt;width:468.25pt;height:263.4pt;mso-position-vertical:top" type="shapetype_75">
                <v:imagedata r:id="rId1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t xml:space="preserve">Вывод: в ходе лабораторной работы путем моделирования </w:t>
      </w:r>
      <w:r>
        <w:rPr>
          <w:lang w:val="en-US" w:eastAsia="ru-RU"/>
        </w:rPr>
        <w:t>RC</w:t>
      </w:r>
      <w:r>
        <w:rPr>
          <w:lang w:eastAsia="ru-RU"/>
        </w:rPr>
        <w:t xml:space="preserve"> и </w:t>
      </w:r>
      <w:r>
        <w:rPr>
          <w:lang w:val="en-US" w:eastAsia="ru-RU"/>
        </w:rPr>
        <w:t>RL</w:t>
      </w:r>
      <w:r>
        <w:rPr>
          <w:lang w:eastAsia="ru-RU"/>
        </w:rPr>
        <w:t xml:space="preserve"> цепей в среде </w:t>
      </w:r>
      <w:r>
        <w:rPr>
          <w:lang w:val="en-US" w:eastAsia="ru-RU"/>
        </w:rPr>
        <w:t>Microcap</w:t>
      </w:r>
      <w:r>
        <w:rPr>
          <w:lang w:eastAsia="ru-RU"/>
        </w:rPr>
        <w:t xml:space="preserve"> опытным путем были подтверждены основные зависимости переходных процессов, экспериментально определены постоянные времени переходных процессов в этих цепях, а также проверено выполнение законов коммутации.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85" w:hanging="82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4"/>
  <w:embedSystemFonts/>
  <w:defaultTabStop w:val="708"/>
  <w:autoHyphenation w:val="true"/>
  <w:doNotHyphenateCaps/>
  <w:compat>
    <w:compatSetting w:name="compatibilityMode" w:uri="http://schemas.microsoft.com/office/word" w:val="1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3767e"/>
    <w:pPr>
      <w:widowControl/>
      <w:suppressAutoHyphens w:val="true"/>
      <w:bidi w:val="0"/>
      <w:spacing w:lineRule="auto" w:line="259" w:before="0" w:after="160"/>
      <w:jc w:val="left"/>
    </w:pPr>
    <w:rPr>
      <w:rFonts w:cs="Calibri" w:ascii="Calibri" w:hAnsi="Calibri" w:eastAsia="Calibri"/>
      <w:color w:val="auto"/>
      <w:kern w:val="0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basedOn w:val="DefaultParagraphFont"/>
    <w:link w:val="a4"/>
    <w:uiPriority w:val="99"/>
    <w:qFormat/>
    <w:locked/>
    <w:rsid w:val="00996006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link w:val="a5"/>
    <w:uiPriority w:val="99"/>
    <w:qFormat/>
    <w:rsid w:val="00d97bd2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99"/>
    <w:rsid w:val="001e58b8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LibreOffice/6.4.7.2$Windows_x86 LibreOffice_project/639b8ac485750d5696d7590a72ef1b496725cfb5</Application>
  <Pages>8</Pages>
  <Words>533</Words>
  <Characters>3273</Characters>
  <CharactersWithSpaces>3664</CharactersWithSpaces>
  <Paragraphs>148</Paragraphs>
  <Company>m5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dc:description/>
  <dc:language>ru-RU</dc:language>
  <cp:lastModifiedBy/>
  <dcterms:modified xsi:type="dcterms:W3CDTF">2021-05-18T21:59:39Z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m5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