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Московский государственный технический университет им. Н.Э. Баумана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Факультет «Специальное машиностроение»</w:t>
      </w:r>
    </w:p>
    <w:p>
      <w:pPr>
        <w:pBdr>
          <w:bottom w:val="single" w:color="000000" w:sz="12" w:space="1"/>
        </w:pBd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Кафедра «Автономные информационные и управляющие системы»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</w:p>
    <w:p>
      <w:pPr>
        <w:spacing w:line="360" w:lineRule="auto"/>
        <w:ind w:firstLine="709"/>
        <w:jc w:val="center"/>
        <w:rPr>
          <w:rFonts w:hint="default" w:eastAsia="Calibri"/>
          <w:sz w:val="28"/>
          <w:lang w:val="ru-RU"/>
        </w:rPr>
      </w:pPr>
      <w:r>
        <w:rPr>
          <w:rFonts w:eastAsia="Calibri"/>
          <w:sz w:val="28"/>
        </w:rPr>
        <w:t>Лабораторная работа №</w:t>
      </w:r>
      <w:r>
        <w:rPr>
          <w:rFonts w:hint="default" w:eastAsia="Calibri"/>
          <w:sz w:val="28"/>
          <w:lang w:val="ru-RU"/>
        </w:rPr>
        <w:t>4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по дисциплине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«ОСНОВЫ ТЕОРИИ ЦЕПЕЙ»</w:t>
      </w:r>
    </w:p>
    <w:p>
      <w:pPr>
        <w:spacing w:line="360" w:lineRule="auto"/>
        <w:ind w:firstLine="709"/>
        <w:jc w:val="center"/>
        <w:rPr>
          <w:b w:val="0"/>
          <w:bCs/>
          <w:sz w:val="32"/>
          <w:szCs w:val="32"/>
        </w:rPr>
      </w:pPr>
      <w:r>
        <w:rPr>
          <w:b w:val="0"/>
          <w:bCs/>
          <w:sz w:val="32"/>
          <w:szCs w:val="32"/>
        </w:rPr>
        <w:t>Согласованные режимы работы</w:t>
      </w:r>
    </w:p>
    <w:p>
      <w:pPr>
        <w:spacing w:line="360" w:lineRule="auto"/>
        <w:ind w:firstLine="709"/>
        <w:jc w:val="center"/>
        <w:rPr>
          <w:b w:val="0"/>
          <w:bCs/>
          <w:sz w:val="32"/>
          <w:szCs w:val="32"/>
        </w:rPr>
      </w:pPr>
      <w:r>
        <w:rPr>
          <w:b w:val="0"/>
          <w:bCs/>
          <w:sz w:val="32"/>
          <w:szCs w:val="32"/>
        </w:rPr>
        <w:t>четырехполюс</w:t>
      </w:r>
      <w:bookmarkStart w:id="3" w:name="_GoBack"/>
      <w:bookmarkEnd w:id="3"/>
      <w:r>
        <w:rPr>
          <w:b w:val="0"/>
          <w:bCs/>
          <w:sz w:val="32"/>
          <w:szCs w:val="32"/>
        </w:rPr>
        <w:t>ников</w:t>
      </w:r>
    </w:p>
    <w:p>
      <w:pPr>
        <w:spacing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Вариант №</w:t>
      </w:r>
      <w:r>
        <w:rPr>
          <w:rFonts w:hint="default"/>
          <w:sz w:val="28"/>
          <w:szCs w:val="28"/>
          <w:lang w:val="ru-RU"/>
        </w:rPr>
        <w:t xml:space="preserve"> 16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Выполнил ст. группы РЛ6-41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Филимонов</w:t>
      </w:r>
      <w:r>
        <w:rPr>
          <w:rFonts w:hint="default"/>
          <w:sz w:val="28"/>
          <w:szCs w:val="28"/>
          <w:lang w:val="ru-RU"/>
        </w:rPr>
        <w:t xml:space="preserve"> Степан</w:t>
      </w:r>
      <w:r>
        <w:rPr>
          <w:sz w:val="28"/>
          <w:szCs w:val="28"/>
        </w:rPr>
        <w:t xml:space="preserve">     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16"/>
          <w:szCs w:val="16"/>
        </w:rPr>
        <w:t>Фамилия И.О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Проверил</w:t>
      </w:r>
      <w:r>
        <w:rPr>
          <w:rFonts w:hint="default"/>
          <w:sz w:val="28"/>
          <w:szCs w:val="28"/>
          <w:lang w:val="ru-RU"/>
        </w:rPr>
        <w:t xml:space="preserve"> Копейкин Р.Е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Оценка в баллах_________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Москва, 202</w:t>
      </w:r>
      <w:r>
        <w:rPr>
          <w:rFonts w:hint="default"/>
          <w:sz w:val="28"/>
          <w:szCs w:val="28"/>
          <w:lang w:val="ru-RU"/>
        </w:rPr>
        <w:t>2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изучить режим работы четырехполюсника при согласованной нагрузке, научиться путем эксперимента подтверждать полученные результаты расчетов характеристических сопротивлений.</w:t>
      </w:r>
      <w:bookmarkStart w:id="0" w:name="_Hlk39175367"/>
      <w:bookmarkEnd w:id="0"/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2930525" cy="1200150"/>
            <wp:effectExtent l="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493" t="12" r="1155" b="81848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8.1. Электрическая схема пассивного четырехполюсника</w:t>
      </w:r>
    </w:p>
    <w:p>
      <w:pPr>
        <w:pStyle w:val="21"/>
        <w:shd w:val="clear" w:color="auto" w:fill="auto"/>
        <w:tabs>
          <w:tab w:val="left" w:pos="425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1"/>
        <w:shd w:val="clear" w:color="auto" w:fill="auto"/>
        <w:tabs>
          <w:tab w:val="left" w:pos="425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цепи:</w:t>
      </w:r>
    </w:p>
    <w:tbl>
      <w:tblPr>
        <w:tblStyle w:val="11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1337"/>
        <w:gridCol w:w="1332"/>
        <w:gridCol w:w="1335"/>
        <w:gridCol w:w="1331"/>
        <w:gridCol w:w="1335"/>
        <w:gridCol w:w="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мГн</w:t>
            </w:r>
          </w:p>
        </w:tc>
        <w:tc>
          <w:tcPr>
            <w:tcW w:w="1337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мкФ</w:t>
            </w:r>
          </w:p>
        </w:tc>
        <w:tc>
          <w:tcPr>
            <w:tcW w:w="1332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31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В</w:t>
            </w:r>
          </w:p>
        </w:tc>
        <w:tc>
          <w:tcPr>
            <w:tcW w:w="1338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f, 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37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332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</w:p>
        </w:tc>
        <w:tc>
          <w:tcPr>
            <w:tcW w:w="1331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38" w:type="dxa"/>
          </w:tcPr>
          <w:p>
            <w:pPr>
              <w:pStyle w:val="21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ind w:firstLine="709"/>
        <w:rPr>
          <w:lang w:val="ru-RU"/>
        </w:rPr>
      </w:pPr>
      <w:r>
        <w:rPr>
          <w:lang w:val="ru-RU"/>
        </w:rPr>
        <w:t>Теоретический расчет</w:t>
      </w:r>
    </w:p>
    <w:p>
      <w:pPr>
        <w:spacing w:line="360" w:lineRule="auto"/>
        <w:ind w:firstLine="709"/>
        <w:rPr>
          <w:lang w:val="ru-RU"/>
        </w:rPr>
      </w:pPr>
      <w:r>
        <w:rPr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791972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709"/>
        <w:rPr>
          <w:lang w:val="ru-RU"/>
        </w:rPr>
      </w:pPr>
    </w:p>
    <w:p>
      <w:pPr>
        <w:spacing w:line="360" w:lineRule="auto"/>
        <w:jc w:val="left"/>
      </w:pPr>
      <w:r>
        <w:t>Практическое исследование</w:t>
      </w:r>
    </w:p>
    <w:p>
      <w:pPr>
        <w:spacing w:line="360" w:lineRule="auto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12065</wp:posOffset>
            </wp:positionV>
            <wp:extent cx="5848985" cy="2462530"/>
            <wp:effectExtent l="0" t="0" r="0" b="0"/>
            <wp:wrapTopAndBottom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382" t="39851" r="5426" b="2818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8.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4</w:t>
      </w:r>
      <w:r>
        <w:rPr>
          <w:bCs/>
          <w:sz w:val="28"/>
          <w:szCs w:val="28"/>
        </w:rPr>
        <w:t xml:space="preserve">. Схема в </w:t>
      </w:r>
      <w:r>
        <w:rPr>
          <w:bCs/>
          <w:sz w:val="28"/>
          <w:szCs w:val="28"/>
          <w:lang w:val="en-US"/>
        </w:rPr>
        <w:t>Microcap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608330</wp:posOffset>
            </wp:positionH>
            <wp:positionV relativeFrom="paragraph">
              <wp:posOffset>635</wp:posOffset>
            </wp:positionV>
            <wp:extent cx="4260850" cy="4090035"/>
            <wp:effectExtent l="0" t="0" r="0" b="0"/>
            <wp:wrapTopAndBottom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2352" r="5524" b="28119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Рис. 8.5. Параметры настройки источника синусоидального напряжения</w:t>
      </w:r>
    </w:p>
    <w:p>
      <w:pPr>
        <w:spacing w:line="360" w:lineRule="auto"/>
        <w:ind w:firstLine="0"/>
        <w:jc w:val="both"/>
      </w:pPr>
    </w:p>
    <w:p>
      <w:pPr>
        <w:spacing w:line="360" w:lineRule="auto"/>
        <w:ind w:firstLine="0"/>
        <w:jc w:val="both"/>
      </w:pPr>
    </w:p>
    <w:p>
      <w:pPr>
        <w:spacing w:line="360" w:lineRule="auto"/>
        <w:ind w:firstLine="0"/>
        <w:jc w:val="both"/>
      </w:pPr>
    </w:p>
    <w:p>
      <w:pPr>
        <w:spacing w:line="360" w:lineRule="auto"/>
        <w:ind w:firstLine="0"/>
        <w:jc w:val="both"/>
      </w:pPr>
    </w:p>
    <w:p>
      <w:pPr>
        <w:spacing w:line="360" w:lineRule="auto"/>
        <w:ind w:firstLine="0"/>
        <w:jc w:val="both"/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Найдем </w:t>
      </w:r>
      <w:r>
        <w:rPr>
          <w:rFonts w:eastAsia="Times New Roman" w:cs="Times New Roman"/>
          <w:sz w:val="28"/>
          <w:szCs w:val="28"/>
          <w:lang w:eastAsia="ru-RU"/>
        </w:rPr>
        <w:t>А-параметр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ы</w:t>
      </w:r>
      <w:r>
        <w:rPr>
          <w:sz w:val="28"/>
          <w:szCs w:val="28"/>
        </w:rPr>
        <w:t>:</w:t>
      </w:r>
    </w:p>
    <w:p>
      <w:pPr>
        <w:spacing w:line="360" w:lineRule="auto"/>
        <w:ind w:firstLine="0"/>
        <w:jc w:val="both"/>
      </w:pPr>
      <w:r>
        <w:rPr>
          <w:sz w:val="28"/>
          <w:szCs w:val="28"/>
        </w:rPr>
        <w:t>1) х-х на 2-2</w:t>
      </w:r>
    </w:p>
    <w:p>
      <w:pPr>
        <w:spacing w:line="360" w:lineRule="auto"/>
        <w:ind w:firstLine="0"/>
        <w:jc w:val="both"/>
      </w:pPr>
      <m:oMathPara>
        <m:oMath>
          <m:sSub>
            <m:sSubPr/>
            <m:e>
              <m:r>
                <m:rPr/>
                <w:rPr>
                  <w:rFonts w:ascii="Cambria Math" w:hAnsi="Cambria Math"/>
                </w:rPr>
                <m:t>A</m:t>
              </m:r>
            </m:e>
            <m:sub>
              <m:r>
                <m:rPr/>
                <w:rPr>
                  <w:rFonts w:ascii="Cambria Math" w:hAnsi="Cambria Math"/>
                </w:rPr>
                <m:t>11</m:t>
              </m:r>
            </m:sub>
          </m:sSub>
          <m:r>
            <m:rPr/>
            <w:rPr>
              <w:rFonts w:ascii="Cambria Math" w:hAnsi="Cambria Math"/>
            </w:rPr>
            <m:t>=</m:t>
          </m:r>
          <m:sSub>
            <m:sSubPr/>
            <m:e>
              <m:d>
                <m:dPr/>
                <m:e>
                  <m:f>
                    <m:fPr/>
                    <m:num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/>
                <w:rPr>
                  <w:rFonts w:ascii="Cambria Math" w:hAnsi="Cambria Math"/>
                </w:rPr>
                <m:t>I2=0</m:t>
              </m:r>
            </m:sub>
          </m:sSub>
          <m:r>
            <m:rPr/>
            <w:rPr>
              <w:rFonts w:ascii="Cambria Math" w:hAnsi="Cambria Math"/>
            </w:rPr>
            <m:t>=</m:t>
          </m:r>
          <m:f>
            <m:fPr/>
            <m:num>
              <m:r>
                <m:rPr/>
                <w:rPr>
                  <w:rFonts w:ascii="Cambria Math" w:hAnsi="Cambria Math"/>
                </w:rPr>
                <m:t>v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V1</m:t>
                  </m:r>
                </m:e>
              </m:d>
            </m:num>
            <m:den>
              <m:r>
                <m:rPr/>
                <w:rPr>
                  <w:rFonts w:ascii="Cambria Math" w:hAnsi="Cambria Math"/>
                </w:rPr>
                <m:t>v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R3</m:t>
                  </m:r>
                </m:e>
              </m:d>
            </m:den>
          </m:f>
        </m:oMath>
      </m:oMathPara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-36830</wp:posOffset>
            </wp:positionV>
            <wp:extent cx="5918835" cy="1819275"/>
            <wp:effectExtent l="0" t="0" r="0" b="0"/>
            <wp:wrapTopAndBottom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000" t="26325" b="46334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-56515</wp:posOffset>
            </wp:positionV>
            <wp:extent cx="5836285" cy="1607820"/>
            <wp:effectExtent l="0" t="0" r="0" b="0"/>
            <wp:wrapTopAndBottom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322" t="53241" r="-10" b="22406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  <m:oMathPara>
        <m:oMath>
          <m:sSub>
            <m:sSubPr/>
            <m:e>
              <m:r>
                <m:rPr/>
                <w:rPr>
                  <w:rFonts w:ascii="Cambria Math" w:hAnsi="Cambria Math"/>
                </w:rPr>
                <m:t>A</m:t>
              </m:r>
            </m:e>
            <m:sub>
              <m:r>
                <m:rPr/>
                <w:rPr>
                  <w:rFonts w:ascii="Cambria Math" w:hAnsi="Cambria Math"/>
                </w:rPr>
                <m:t>21</m:t>
              </m:r>
            </m:sub>
          </m:sSub>
          <m:r>
            <m:rPr/>
            <w:rPr>
              <w:rFonts w:ascii="Cambria Math" w:hAnsi="Cambria Math"/>
            </w:rPr>
            <m:t>=</m:t>
          </m:r>
          <m:sSub>
            <m:sSubPr/>
            <m:e>
              <m:d>
                <m:dPr/>
                <m:e>
                  <m:f>
                    <m:fPr/>
                    <m:num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/>
                <w:rPr>
                  <w:rFonts w:ascii="Cambria Math" w:hAnsi="Cambria Math"/>
                </w:rPr>
                <m:t>I2=0</m:t>
              </m:r>
            </m:sub>
          </m:sSub>
          <m:r>
            <m:rPr/>
            <w:rPr>
              <w:rFonts w:ascii="Cambria Math" w:hAnsi="Cambria Math"/>
            </w:rPr>
            <m:t>=</m:t>
          </m:r>
          <m:f>
            <m:fPr/>
            <m:num>
              <m:r>
                <m:rPr/>
                <w:rPr>
                  <w:rFonts w:ascii="Cambria Math" w:hAnsi="Cambria Math"/>
                </w:rPr>
                <m:t>i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V1</m:t>
                  </m:r>
                </m:e>
              </m:d>
            </m:num>
            <m:den>
              <m:r>
                <m:rPr/>
                <w:rPr>
                  <w:rFonts w:ascii="Cambria Math" w:hAnsi="Cambria Math"/>
                </w:rPr>
                <m:t>v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R3</m:t>
                  </m:r>
                </m:e>
              </m:d>
            </m:den>
          </m:f>
        </m:oMath>
      </m:oMathPara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-31750</wp:posOffset>
            </wp:positionV>
            <wp:extent cx="5848985" cy="175641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541" t="27563" r="-10" b="46010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5908040" cy="1684020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226" t="53110" r="-10" b="21649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0"/>
        <w:jc w:val="both"/>
      </w:pPr>
      <w:r>
        <w:rPr>
          <w:rFonts w:eastAsia="Times New Roman" w:cs="Times New Roman"/>
          <w:b w:val="0"/>
          <w:bCs w:val="0"/>
          <w:color w:val="auto"/>
          <w:kern w:val="0"/>
          <w:sz w:val="28"/>
          <w:szCs w:val="28"/>
          <w:lang w:val="en-US" w:eastAsia="ru-RU" w:bidi="ar-SA"/>
        </w:rPr>
        <w:t>2</w:t>
      </w:r>
      <w:r>
        <w:rPr>
          <w:b w:val="0"/>
          <w:bCs w:val="0"/>
          <w:sz w:val="28"/>
          <w:szCs w:val="28"/>
        </w:rPr>
        <w:t>)</w:t>
      </w:r>
      <w:r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b w:val="0"/>
          <w:bCs w:val="0"/>
          <w:color w:val="auto"/>
          <w:kern w:val="0"/>
          <w:sz w:val="28"/>
          <w:szCs w:val="28"/>
          <w:lang w:val="en-US" w:eastAsia="ru-RU" w:bidi="ar-SA"/>
        </w:rPr>
        <w:t>к</w:t>
      </w:r>
      <w:r>
        <w:rPr>
          <w:rFonts w:eastAsia="Times New Roman" w:cs="Times New Roman"/>
          <w:b w:val="0"/>
          <w:bCs w:val="0"/>
          <w:color w:val="auto"/>
          <w:kern w:val="0"/>
          <w:sz w:val="28"/>
          <w:szCs w:val="28"/>
          <w:lang w:val="ru-RU" w:eastAsia="ru-RU" w:bidi="ar-SA"/>
        </w:rPr>
        <w:t>з</w:t>
      </w:r>
      <w:r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>на 2-2</w:t>
      </w:r>
    </w:p>
    <w:p>
      <w:pPr>
        <w:spacing w:line="360" w:lineRule="auto"/>
        <w:jc w:val="both"/>
        <w:rPr>
          <w:b/>
          <w:sz w:val="28"/>
          <w:szCs w:val="28"/>
        </w:rPr>
      </w:pPr>
      <m:oMathPara>
        <m:oMath>
          <m:sSub>
            <m:sSubPr/>
            <m:e>
              <m:r>
                <m:rPr/>
                <w:rPr>
                  <w:rFonts w:ascii="Cambria Math" w:hAnsi="Cambria Math"/>
                </w:rPr>
                <m:t>A</m:t>
              </m:r>
            </m:e>
            <m:sub>
              <m:r>
                <m:rPr/>
                <w:rPr>
                  <w:rFonts w:ascii="Cambria Math" w:hAnsi="Cambria Math"/>
                </w:rPr>
                <m:t>12</m:t>
              </m:r>
            </m:sub>
          </m:sSub>
          <m:r>
            <m:rPr/>
            <w:rPr>
              <w:rFonts w:ascii="Cambria Math" w:hAnsi="Cambria Math"/>
            </w:rPr>
            <m:t>=</m:t>
          </m:r>
          <m:sSub>
            <m:sSubPr/>
            <m:e>
              <m:d>
                <m:dPr/>
                <m:e>
                  <m:f>
                    <m:fPr/>
                    <m:num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/>
                <w:rPr>
                  <w:rFonts w:ascii="Cambria Math" w:hAnsi="Cambria Math"/>
                </w:rPr>
                <m:t>U2=0</m:t>
              </m:r>
            </m:sub>
          </m:sSub>
          <m:r>
            <m:rPr/>
            <w:rPr>
              <w:rFonts w:ascii="Cambria Math" w:hAnsi="Cambria Math"/>
            </w:rPr>
            <m:t>=</m:t>
          </m:r>
          <m:sSub>
            <m:sSubPr/>
            <m:e>
              <m:d>
                <m:dPr/>
                <m:e>
                  <m:f>
                    <m:fPr/>
                    <m:num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/>
                        <m:e>
                          <m:acc>
                            <m:accPr>
                              <m:chr m:val="˙"/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/>
                <w:rPr>
                  <w:rFonts w:ascii="Cambria Math" w:hAnsi="Cambria Math"/>
                </w:rPr>
                <m:t>U2=0</m:t>
              </m:r>
            </m:sub>
          </m:sSub>
          <m:r>
            <m:rPr/>
            <w:rPr>
              <w:rFonts w:ascii="Cambria Math" w:hAnsi="Cambria Math"/>
            </w:rPr>
            <m:t>=</m:t>
          </m:r>
          <m:f>
            <m:fPr/>
            <m:num>
              <m:r>
                <m:rPr/>
                <w:rPr>
                  <w:rFonts w:ascii="Cambria Math" w:hAnsi="Cambria Math"/>
                </w:rPr>
                <m:t>v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V1</m:t>
                  </m:r>
                </m:e>
              </m:d>
            </m:num>
            <m:den>
              <m:r>
                <m:rPr/>
                <w:rPr>
                  <w:rFonts w:ascii="Cambria Math" w:hAnsi="Cambria Math"/>
                </w:rPr>
                <m:t>i</m:t>
              </m:r>
              <m:d>
                <m:dPr/>
                <m:e>
                  <m:r>
                    <m:rPr/>
                    <w:rPr>
                      <w:rFonts w:ascii="Cambria Math" w:hAnsi="Cambria Math"/>
                    </w:rPr>
                    <m:t>v1</m:t>
                  </m:r>
                </m:e>
              </m:d>
            </m:den>
          </m:f>
        </m:oMath>
      </m:oMathPara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-55245</wp:posOffset>
            </wp:positionV>
            <wp:extent cx="5654675" cy="1753870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0138" t="27292" r="-10" b="4520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-52705</wp:posOffset>
            </wp:positionV>
            <wp:extent cx="5506085" cy="1574800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381" t="52594" r="-10" b="22161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709"/>
        <w:jc w:val="both"/>
        <w:rPr>
          <w:b/>
          <w:sz w:val="28"/>
          <w:szCs w:val="28"/>
        </w:rPr>
      </w:pPr>
      <m:oMath>
        <m:sSub>
          <m:sSubPr/>
          <m:e>
            <m:r>
              <m:rPr/>
              <w:rPr>
                <w:rFonts w:ascii="Cambria Math" w:hAnsi="Cambria Math"/>
              </w:rPr>
              <m:t>A</m:t>
            </m:r>
          </m:e>
          <m:sub>
            <m:r>
              <m:rPr/>
              <w:rPr>
                <w:rFonts w:ascii="Cambria Math" w:hAnsi="Cambria Math"/>
              </w:rPr>
              <m:t>22</m:t>
            </m:r>
          </m:sub>
        </m:sSub>
        <m:r>
          <m:rPr/>
          <w:rPr>
            <w:rFonts w:ascii="Cambria Math" w:hAnsi="Cambria Math"/>
          </w:rPr>
          <m:t>=1</m:t>
        </m:r>
      </m:oMath>
      <w:r>
        <w:t xml:space="preserve"> по определению из-за Г-образной формы четырехполюсника</w:t>
      </w:r>
    </w:p>
    <w:p>
      <w:pPr>
        <w:spacing w:line="360" w:lineRule="auto"/>
        <w:ind w:firstLine="709"/>
        <w:jc w:val="both"/>
        <w:rPr>
          <w:b/>
          <w:sz w:val="28"/>
          <w:szCs w:val="28"/>
        </w:rPr>
      </w:pPr>
      <m:oMathPara>
        <m:oMath>
          <m:sSub>
            <m:sSubPr/>
            <m:e>
              <m:r>
                <m:rPr/>
                <w:rPr>
                  <w:rFonts w:ascii="Cambria Math" w:hAnsi="Cambria Math"/>
                </w:rPr>
                <m:t>Z</m:t>
              </m:r>
            </m:e>
            <m:sub>
              <m:r>
                <m:rPr/>
                <w:rPr>
                  <w:rFonts w:ascii="Cambria Math" w:hAnsi="Cambria Math"/>
                </w:rPr>
                <m:t>c1</m:t>
              </m:r>
            </m:sub>
          </m:sSub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den>
              </m:f>
            </m:e>
          </m:rad>
          <m:r>
            <m:rPr/>
            <w:rPr>
              <w:rFonts w:ascii="Cambria Math" w:hAnsi="Cambria Math"/>
            </w:rPr>
            <m:t>=7.546</m:t>
          </m:r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−i31,3</m:t>
              </m:r>
              <m:acc>
                <m:accPr>
                  <m:chr m:val="˚"/>
                </m:accPr>
                <m:e>
                  <m:r>
                    <m:rPr/>
                    <w:rPr>
                      <w:rFonts w:ascii="Cambria Math" w:hAnsi="Cambria Math"/>
                    </w:rPr>
                    <m:t>0</m:t>
                  </m:r>
                </m:e>
              </m:acc>
            </m:sup>
          </m:sSup>
        </m:oMath>
      </m:oMathPara>
    </w:p>
    <w:p>
      <w:pPr>
        <w:spacing w:line="360" w:lineRule="auto"/>
        <w:ind w:firstLine="709"/>
        <w:jc w:val="both"/>
        <w:rPr>
          <w:b/>
          <w:sz w:val="28"/>
          <w:szCs w:val="28"/>
        </w:rPr>
      </w:pPr>
      <m:oMathPara>
        <m:oMath>
          <m:sSub>
            <m:sSubPr/>
            <m:e>
              <m:r>
                <m:rPr/>
                <w:rPr>
                  <w:rFonts w:ascii="Cambria Math" w:hAnsi="Cambria Math"/>
                </w:rPr>
                <m:t>Z</m:t>
              </m:r>
            </m:e>
            <m:sub>
              <m:r>
                <m:rPr/>
                <w:rPr>
                  <w:rFonts w:ascii="Cambria Math" w:hAnsi="Cambria Math"/>
                </w:rPr>
                <m:t>c2</m:t>
              </m:r>
            </m:sub>
          </m:sSub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den>
              </m:f>
            </m:e>
          </m:rad>
          <m:r>
            <m:rPr/>
            <w:rPr>
              <w:rFonts w:ascii="Cambria Math" w:hAnsi="Cambria Math"/>
            </w:rPr>
            <m:t>=2.542</m:t>
          </m:r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−i2.65</m:t>
              </m:r>
              <m:acc>
                <m:accPr>
                  <m:chr m:val="˚"/>
                </m:accPr>
                <m:e>
                  <m:r>
                    <m:rPr/>
                    <w:rPr>
                      <w:rFonts w:ascii="Cambria Math" w:hAnsi="Cambria Math"/>
                    </w:rPr>
                    <m:t>0</m:t>
                  </m:r>
                </m:e>
              </m:acc>
            </m:sup>
          </m:sSup>
        </m:oMath>
      </m:oMathPara>
    </w:p>
    <w:p>
      <w:pPr>
        <w:pStyle w:val="22"/>
        <w:jc w:val="center"/>
        <w:rPr>
          <w:sz w:val="28"/>
          <w:szCs w:val="28"/>
        </w:rPr>
      </w:pPr>
      <w:r>
        <w:rPr>
          <w:sz w:val="28"/>
          <w:szCs w:val="28"/>
        </w:rPr>
        <w:t>Таблица 4. Результаты расчетов и измерений первичных параметров</w:t>
      </w:r>
    </w:p>
    <w:tbl>
      <w:tblPr>
        <w:tblStyle w:val="11"/>
        <w:tblW w:w="8923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1701"/>
        <w:gridCol w:w="1749"/>
        <w:gridCol w:w="1573"/>
        <w:gridCol w:w="1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2323" w:type="dxa"/>
            <w:vMerge w:val="restart"/>
          </w:tcPr>
          <w:p>
            <w:pPr>
              <w:pStyle w:val="22"/>
              <w:ind w:left="0" w:firstLine="0"/>
              <w:jc w:val="center"/>
            </w:pPr>
            <w:r>
              <w:t>Характеристические сопротивления четырехполюсника</w:t>
            </w:r>
          </w:p>
        </w:tc>
        <w:tc>
          <w:tcPr>
            <w:tcW w:w="3450" w:type="dxa"/>
            <w:gridSpan w:val="2"/>
          </w:tcPr>
          <w:p>
            <w:pPr>
              <w:pStyle w:val="22"/>
              <w:ind w:left="0" w:firstLine="0"/>
              <w:jc w:val="center"/>
            </w:pPr>
            <w:r>
              <w:t>Расчет</w:t>
            </w:r>
          </w:p>
        </w:tc>
        <w:tc>
          <w:tcPr>
            <w:tcW w:w="3150" w:type="dxa"/>
            <w:gridSpan w:val="2"/>
          </w:tcPr>
          <w:p>
            <w:pPr>
              <w:pStyle w:val="22"/>
              <w:ind w:left="0" w:firstLine="0"/>
              <w:jc w:val="center"/>
            </w:pPr>
            <w:r>
              <w:t>Измерено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23" w:type="dxa"/>
            <w:vMerge w:val="continue"/>
          </w:tcPr>
          <w:p>
            <w:pPr>
              <w:pStyle w:val="22"/>
              <w:ind w:left="0" w:firstLine="0"/>
              <w:jc w:val="center"/>
            </w:pPr>
          </w:p>
        </w:tc>
        <w:tc>
          <w:tcPr>
            <w:tcW w:w="1701" w:type="dxa"/>
          </w:tcPr>
          <w:p>
            <w:pPr>
              <w:pStyle w:val="22"/>
              <w:ind w:left="0" w:firstLine="0"/>
              <w:jc w:val="center"/>
            </w:pPr>
            <w:r>
              <w:t>Модуль</w:t>
            </w:r>
          </w:p>
        </w:tc>
        <w:tc>
          <w:tcPr>
            <w:tcW w:w="1749" w:type="dxa"/>
          </w:tcPr>
          <w:p>
            <w:pPr>
              <w:pStyle w:val="22"/>
              <w:ind w:left="0" w:firstLine="0"/>
              <w:jc w:val="center"/>
            </w:pPr>
            <w:r>
              <w:t>Аргумент</w:t>
            </w:r>
          </w:p>
          <w:p>
            <w:pPr>
              <w:pStyle w:val="22"/>
              <w:ind w:left="0" w:firstLine="0"/>
              <w:jc w:val="center"/>
            </w:pPr>
            <w:r>
              <w:t>(в град)</w:t>
            </w:r>
          </w:p>
        </w:tc>
        <w:tc>
          <w:tcPr>
            <w:tcW w:w="1573" w:type="dxa"/>
          </w:tcPr>
          <w:p>
            <w:pPr>
              <w:pStyle w:val="22"/>
              <w:ind w:left="0" w:firstLine="0"/>
              <w:jc w:val="center"/>
            </w:pPr>
            <w:r>
              <w:t>АЧХ</w:t>
            </w:r>
          </w:p>
        </w:tc>
        <w:tc>
          <w:tcPr>
            <w:tcW w:w="1577" w:type="dxa"/>
          </w:tcPr>
          <w:p>
            <w:pPr>
              <w:pStyle w:val="22"/>
              <w:ind w:left="0" w:firstLine="0"/>
              <w:jc w:val="center"/>
            </w:pPr>
            <w:r>
              <w:t>ФЧХ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3" w:type="dxa"/>
          </w:tcPr>
          <w:p>
            <w:pPr>
              <w:pStyle w:val="22"/>
              <w:ind w:left="0" w:firstLine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</w:rPr>
              <w:t>1</w:t>
            </w:r>
            <w:r>
              <w:rPr>
                <w:vertAlign w:val="subscript"/>
                <w:lang w:val="en-US"/>
              </w:rPr>
              <w:t>C</w:t>
            </w:r>
          </w:p>
        </w:tc>
        <w:tc>
          <w:tcPr>
            <w:tcW w:w="1701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7.6</w:t>
            </w:r>
          </w:p>
        </w:tc>
        <w:tc>
          <w:tcPr>
            <w:tcW w:w="1749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-31.67</w:t>
            </w:r>
          </w:p>
        </w:tc>
        <w:tc>
          <w:tcPr>
            <w:tcW w:w="1573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7.54</w:t>
            </w:r>
          </w:p>
        </w:tc>
        <w:tc>
          <w:tcPr>
            <w:tcW w:w="1577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-31.3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3" w:type="dxa"/>
          </w:tcPr>
          <w:p>
            <w:pPr>
              <w:pStyle w:val="22"/>
              <w:ind w:left="0" w:firstLine="0"/>
              <w:jc w:val="center"/>
            </w:pPr>
            <w:r>
              <w:rPr>
                <w:lang w:val="en-US"/>
              </w:rPr>
              <w:t>Z</w:t>
            </w:r>
            <w:r>
              <w:rPr>
                <w:vertAlign w:val="subscript"/>
              </w:rPr>
              <w:t>2</w:t>
            </w:r>
            <w:r>
              <w:rPr>
                <w:vertAlign w:val="subscript"/>
                <w:lang w:val="en-US"/>
              </w:rPr>
              <w:t>C</w:t>
            </w:r>
          </w:p>
        </w:tc>
        <w:tc>
          <w:tcPr>
            <w:tcW w:w="1701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2.547</w:t>
            </w:r>
          </w:p>
        </w:tc>
        <w:tc>
          <w:tcPr>
            <w:tcW w:w="1749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-7.213</w:t>
            </w:r>
          </w:p>
        </w:tc>
        <w:tc>
          <w:tcPr>
            <w:tcW w:w="1573" w:type="dxa"/>
          </w:tcPr>
          <w:p>
            <w:pPr>
              <w:pStyle w:val="22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2.542</w:t>
            </w:r>
          </w:p>
        </w:tc>
        <w:tc>
          <w:tcPr>
            <w:tcW w:w="1577" w:type="dxa"/>
          </w:tcPr>
          <w:p>
            <w:pPr>
              <w:pStyle w:val="22"/>
              <w:ind w:left="0" w:firstLine="0"/>
            </w:pPr>
            <w:r>
              <w:t>-</w:t>
            </w:r>
            <w:r>
              <w:rPr>
                <w:lang w:val="en-US"/>
              </w:rPr>
              <w:t>2.65</w:t>
            </w:r>
          </w:p>
        </w:tc>
      </w:tr>
    </w:tbl>
    <w:p>
      <w:pPr>
        <w:pStyle w:val="22"/>
        <w:jc w:val="center"/>
        <w:rPr>
          <w:sz w:val="28"/>
          <w:szCs w:val="28"/>
        </w:rPr>
      </w:pPr>
    </w:p>
    <w:p>
      <w:pPr>
        <w:pStyle w:val="22"/>
        <w:rPr>
          <w:sz w:val="28"/>
          <w:szCs w:val="28"/>
        </w:rPr>
      </w:pPr>
      <w:bookmarkStart w:id="1" w:name="_Hlk39174961"/>
      <w:bookmarkEnd w:id="1"/>
    </w:p>
    <w:p>
      <w:pPr>
        <w:ind w:firstLine="567"/>
        <w:rPr>
          <w:sz w:val="28"/>
        </w:rPr>
      </w:pPr>
      <w:r>
        <w:rPr>
          <w:b/>
          <w:sz w:val="28"/>
        </w:rPr>
        <w:t>Вычисление среднего значения погрешности по модулю и по фазе</w:t>
      </w:r>
      <w:r>
        <w:rPr>
          <w:sz w:val="28"/>
        </w:rPr>
        <w:t>:</w:t>
      </w:r>
    </w:p>
    <w:p>
      <w:pPr>
        <w:spacing w:line="360" w:lineRule="auto"/>
        <w:ind w:firstLine="709"/>
        <w:jc w:val="both"/>
        <w:rPr>
          <w:sz w:val="28"/>
        </w:rPr>
      </w:pPr>
      <m:oMathPara>
        <m:oMath>
          <m:r>
            <m:rPr/>
            <w:rPr>
              <w:rFonts w:ascii="Cambria Math" w:hAnsi="Cambria Math"/>
            </w:rPr>
            <m:t>∆x1=</m:t>
          </m:r>
          <m:f>
            <m:fPr/>
            <m:num>
              <m:r>
                <m:rPr/>
                <w:rPr>
                  <w:rFonts w:ascii="Cambria Math" w:hAnsi="Cambria Math"/>
                </w:rPr>
                <m:t>1</m:t>
              </m:r>
            </m:num>
            <m:den>
              <m:r>
                <m:rPr/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</m:naryPr>
            <m:sub>
              <m:r>
                <m:rPr/>
                <w:rPr>
                  <w:rFonts w:ascii="Cambria Math" w:hAnsi="Cambria Math"/>
                </w:rPr>
                <m:t>i</m:t>
              </m:r>
            </m:sub>
            <m:sup>
              <m:r>
                <m:rPr/>
                <w:rPr>
                  <w:rFonts w:ascii="Cambria Math" w:hAnsi="Cambria Math"/>
                </w:rPr>
                <m:t>N</m:t>
              </m:r>
            </m:sup>
            <m:e>
              <m:r>
                <m:rPr/>
                <w:rPr>
                  <w:rFonts w:ascii="Cambria Math" w:hAnsi="Cambria Math"/>
                </w:rPr>
                <m:t>∆</m:t>
              </m:r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/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>
      <w:pPr>
        <w:spacing w:line="360" w:lineRule="auto"/>
        <w:ind w:firstLine="709"/>
        <w:jc w:val="both"/>
      </w:pPr>
      <w:r>
        <w:rPr>
          <w:lang w:val="ru-RU"/>
        </w:rPr>
        <w:t>Модуль: 0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.</w:t>
      </w:r>
      <w:r>
        <w:rPr>
          <w:lang w:val="ru-RU"/>
        </w:rPr>
        <w:t>0325</w:t>
      </w:r>
    </w:p>
    <w:p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Фаза: 2.</w:t>
      </w:r>
      <w:r>
        <w:rPr>
          <w:lang w:val="en-US"/>
        </w:rPr>
        <w:t>4665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Выводы</w:t>
      </w:r>
      <w:r>
        <w:rPr>
          <w:sz w:val="28"/>
        </w:rPr>
        <w:t xml:space="preserve">: </w:t>
      </w:r>
      <w:bookmarkStart w:id="2" w:name="docs-internal-guid-33ce9c62-7fff-27fb-23"/>
      <w:bookmarkEnd w:id="2"/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</w:rPr>
        <w:t>В ходе лабораторной работы я изучил первичные</w:t>
      </w: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</w:rPr>
        <w:t>характеристики и основные уравнения связи пассивных четырёхполюсников и с их помощью определил согласованные сопротивления четырёхполюсника.</w:t>
      </w: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</w:rPr>
        <w:t xml:space="preserve">Результаты измерений и теоретических расчётов  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strike w:val="0"/>
          <w:dstrike w:val="0"/>
          <w:color w:val="000000"/>
          <w:kern w:val="0"/>
          <w:sz w:val="28"/>
          <w:szCs w:val="24"/>
          <w:u w:val="none"/>
          <w:lang w:val="ru-RU" w:eastAsia="ru-RU" w:bidi="ar-SA"/>
        </w:rPr>
        <w:t>по большей части</w:t>
      </w: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</w:rPr>
        <w:t xml:space="preserve"> совпадают. Различия в измерениях и теоретических расчетах фазы </w:t>
      </w: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  <w:lang w:val="en-US"/>
        </w:rPr>
        <w:t>Z</w:t>
      </w: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sz w:val="28"/>
          <w:u w:val="none"/>
          <w:vertAlign w:val="subscript"/>
          <w:lang w:val="en-US"/>
        </w:rPr>
        <w:t xml:space="preserve">c2 </w:t>
      </w:r>
      <w:r>
        <w:rPr>
          <w:rFonts w:ascii="Times New Roman" w:hAnsi="Times New Roman"/>
          <w:b w:val="0"/>
          <w:i w:val="0"/>
          <w:caps w:val="0"/>
          <w:smallCaps w:val="0"/>
          <w:strike w:val="0"/>
          <w:dstrike w:val="0"/>
          <w:color w:val="000000"/>
          <w:position w:val="0"/>
          <w:sz w:val="28"/>
          <w:u w:val="none"/>
          <w:vertAlign w:val="baseline"/>
          <w:lang w:val="ru-RU"/>
        </w:rPr>
        <w:t>объяснить не удается.</w:t>
      </w:r>
      <w:r>
        <w:br w:type="textWrapping"/>
      </w: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pStyle w:val="7"/>
        <w:bidi w:val="0"/>
        <w:spacing w:before="0" w:after="0" w:line="288" w:lineRule="auto"/>
        <w:jc w:val="both"/>
        <w:rPr>
          <w:sz w:val="28"/>
        </w:rPr>
      </w:pPr>
    </w:p>
    <w:p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Ответы на контрольные вопросы</w:t>
      </w:r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>: Что называют входным сопротивлением четырёхполюсника?</w:t>
      </w:r>
    </w:p>
    <w:p>
      <w:pPr>
        <w:pStyle w:val="22"/>
        <w:spacing w:line="360" w:lineRule="auto"/>
        <w:ind w:left="1069" w:firstLine="0"/>
        <w:rPr>
          <w:sz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</w:t>
      </w:r>
      <w:r>
        <w:rPr>
          <w:color w:val="000000"/>
          <w:sz w:val="28"/>
          <w:szCs w:val="28"/>
        </w:rPr>
        <w:t>Отношение напряжения к току при питании четырехполюсника со стороны первичных (вторичных) выводов и сопротивлении нагрузки на вторичных называется входным сопротивлением четырехполюсника со стороны первичных (вторичных) выводов.</w:t>
      </w:r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>: Какое сопротивление называют характеристическим?</w:t>
      </w:r>
    </w:p>
    <w:p>
      <w:pPr>
        <w:pStyle w:val="22"/>
        <w:spacing w:line="360" w:lineRule="auto"/>
        <w:ind w:left="1069" w:firstLine="0"/>
        <w:rPr>
          <w:sz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</w:t>
      </w:r>
      <w:r>
        <w:rPr>
          <w:sz w:val="28"/>
          <w:szCs w:val="28"/>
        </w:rPr>
        <w:t>Входные сопротивления в согласованном режиме называют характеристическими.</w:t>
      </w:r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>: Чему равно характеристическое сопротивление симметричного четырёхполюсника?</w:t>
      </w:r>
    </w:p>
    <w:p>
      <w:pPr>
        <w:pStyle w:val="22"/>
        <w:spacing w:line="360" w:lineRule="auto"/>
        <w:ind w:left="1069" w:firstLine="0"/>
        <w:rPr>
          <w:sz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Характеристическое сопротивление симметричного четырёхполюсника будет равно </w:t>
      </w:r>
      <m:oMath>
        <m:rad>
          <m:radPr>
            <m:degHide m:val="1"/>
          </m:radPr>
          <m:deg/>
          <m:e>
            <m:f>
              <m:fPr/>
              <m:num>
                <m:bar>
                  <m:barPr/>
                  <m:e>
                    <m:sSub>
                      <m:sSubPr/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bar>
              </m:num>
              <m:den>
                <m:bar>
                  <m:barPr/>
                  <m:e>
                    <m:sSub>
                      <m:sSubPr/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</m:bar>
              </m:den>
            </m:f>
          </m:e>
        </m:rad>
      </m:oMath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>: Чему равна постоянная передачи четырёхполюсника?</w:t>
      </w:r>
    </w:p>
    <w:p>
      <w:pPr>
        <w:pStyle w:val="22"/>
        <w:spacing w:line="360" w:lineRule="auto"/>
        <w:ind w:left="1069" w:firstLine="0"/>
        <w:rPr>
          <w:color w:val="000000"/>
          <w:sz w:val="28"/>
          <w:szCs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Постоянная передачи четырёхполюсника определяется </w:t>
      </w:r>
      <w:r>
        <w:rPr>
          <w:color w:val="000000"/>
          <w:sz w:val="28"/>
          <w:szCs w:val="28"/>
        </w:rPr>
        <w:t>через отношение произведения напряжения и тока на входе четырехполюсника к произведению напряжения и тока на его выходе, взятое в логарифмическом масштабе:</w:t>
      </w:r>
    </w:p>
    <w:p>
      <w:pPr>
        <w:pStyle w:val="22"/>
        <w:spacing w:line="360" w:lineRule="auto"/>
        <w:ind w:left="1069" w:firstLine="0"/>
        <w:rPr>
          <w:i/>
          <w:sz w:val="28"/>
        </w:rPr>
      </w:pPr>
      <m:oMathPara>
        <m:oMath>
          <m:bar>
            <m:bar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m:rPr/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bar>
          <m:r>
            <m:rPr/>
            <w:rPr>
              <w:rFonts w:ascii="Cambria Math" w:hAnsi="Cambria Math"/>
            </w:rPr>
            <m:t>=</m:t>
          </m:r>
          <m:f>
            <m:fPr/>
            <m:num>
              <m:r>
                <m:rPr/>
                <w:rPr>
                  <w:rFonts w:ascii="Cambria Math" w:hAnsi="Cambria Math"/>
                </w:rPr>
                <m:t>1</m:t>
              </m:r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ln</m:t>
          </m:r>
          <m:d>
            <m:dPr/>
            <m:e>
              <m:f>
                <m:fPr/>
                <m:num>
                  <m:acc>
                    <m:accPr>
                      <m:chr m:val="˙"/>
                    </m:accPr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acc>
                    <m:accPr>
                      <m:chr m:val="˙"/>
                    </m:accPr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acc>
                    <m:accPr>
                      <m:chr m:val="˙"/>
                    </m:accPr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acc>
                    <m:accPr>
                      <m:chr m:val="˙"/>
                    </m:accPr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den>
              </m:f>
            </m:e>
          </m:d>
        </m:oMath>
      </m:oMathPara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>: Что характеризует коэффициент затухания?</w:t>
      </w:r>
    </w:p>
    <w:p>
      <w:pPr>
        <w:pStyle w:val="22"/>
        <w:spacing w:line="360" w:lineRule="auto"/>
        <w:ind w:left="1069" w:firstLine="0"/>
        <w:rPr>
          <w:sz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Коэффициент затухания характеризует амплитуды выходного сигнала относительно входного в </w:t>
      </w:r>
      <m:oMath>
        <m:r>
          <m:rPr/>
          <w:rPr>
            <w:rFonts w:ascii="Cambria Math" w:hAnsi="Cambria Math"/>
          </w:rPr>
          <m:t>e</m:t>
        </m:r>
      </m:oMath>
      <w:r>
        <w:rPr>
          <w:sz w:val="28"/>
        </w:rPr>
        <w:t xml:space="preserve"> раз:</w:t>
      </w:r>
    </w:p>
    <w:p>
      <w:pPr>
        <w:pStyle w:val="22"/>
        <w:spacing w:line="360" w:lineRule="auto"/>
        <w:ind w:left="1069" w:firstLine="0"/>
        <w:rPr>
          <w:i/>
          <w:sz w:val="28"/>
        </w:rPr>
      </w:pPr>
      <m:oMathPara>
        <m:oMath>
          <m:f>
            <m:fPr/>
            <m:num>
              <m:acc>
                <m:accPr>
                  <m:chr m:val="˙"/>
                </m:accPr>
                <m:e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num>
            <m:den>
              <m:acc>
                <m:accPr>
                  <m:chr m:val="˙"/>
                </m:accPr>
                <m:e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den>
          </m:f>
          <m:r>
            <m:rPr/>
            <w:rPr>
              <w:rFonts w:ascii="Cambria Math" w:hAnsi="Cambria Math"/>
            </w:rPr>
            <m:t>=</m:t>
          </m:r>
          <m:bar>
            <m:barPr/>
            <m:e>
              <m:r>
                <m:rPr/>
                <w:rPr>
                  <w:rFonts w:ascii="Cambria Math" w:hAnsi="Cambria Math"/>
                </w:rPr>
                <m:t>A</m:t>
              </m:r>
            </m:e>
          </m:bar>
          <m:r>
            <m:rPr/>
            <w:rPr>
              <w:rFonts w:ascii="Cambria Math" w:hAnsi="Cambria Math"/>
            </w:rPr>
            <m:t>+</m:t>
          </m:r>
          <m:rad>
            <m:radPr>
              <m:degHide m:val="1"/>
            </m:radPr>
            <m:deg/>
            <m:e>
              <m:bar>
                <m:barPr/>
                <m:e>
                  <m:r>
                    <m:rPr/>
                    <w:rPr>
                      <w:rFonts w:ascii="Cambria Math" w:hAnsi="Cambria Math"/>
                    </w:rPr>
                    <m:t>BC</m:t>
                  </m:r>
                </m:e>
              </m:bar>
            </m:e>
          </m:rad>
          <m:r>
            <m:rPr/>
            <w:rPr>
              <w:rFonts w:ascii="Cambria Math" w:hAnsi="Cambria Math"/>
            </w:rPr>
            <m:t>=</m:t>
          </m:r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γ</m:t>
              </m:r>
            </m:sup>
          </m:sSup>
          <m:r>
            <m:rPr/>
            <w:rPr>
              <w:rFonts w:ascii="Cambria Math" w:hAnsi="Cambria Math"/>
            </w:rPr>
            <m:t>=</m:t>
          </m:r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α</m:t>
              </m:r>
            </m:sup>
          </m:sSup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jβ</m:t>
              </m:r>
            </m:sup>
          </m:sSup>
        </m:oMath>
      </m:oMathPara>
    </w:p>
    <w:p>
      <w:pPr>
        <w:pStyle w:val="22"/>
        <w:spacing w:line="360" w:lineRule="auto"/>
        <w:ind w:left="1069" w:firstLine="0"/>
        <w:rPr>
          <w:iCs/>
          <w:sz w:val="28"/>
        </w:rPr>
      </w:pPr>
      <w:r>
        <w:rPr>
          <w:iCs/>
          <w:sz w:val="28"/>
        </w:rPr>
        <w:t xml:space="preserve">где </w:t>
      </w:r>
      <m:oMath>
        <m:r>
          <m:rPr/>
          <w:rPr>
            <w:rFonts w:ascii="Cambria Math" w:hAnsi="Cambria Math"/>
          </w:rPr>
          <m:t>α</m:t>
        </m:r>
      </m:oMath>
      <w:r>
        <w:rPr>
          <w:sz w:val="28"/>
        </w:rPr>
        <w:t xml:space="preserve"> – коэффициент затухания (в неперах), </w:t>
      </w:r>
      <m:oMath>
        <m:r>
          <m:rPr/>
          <w:rPr>
            <w:rFonts w:ascii="Cambria Math" w:hAnsi="Cambria Math"/>
          </w:rPr>
          <m:t>β</m:t>
        </m:r>
      </m:oMath>
      <w:r>
        <w:rPr>
          <w:sz w:val="28"/>
        </w:rPr>
        <w:t xml:space="preserve"> – коэффициент фазы</w:t>
      </w:r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 xml:space="preserve">: Чему равен коэффициент фазы? </w:t>
      </w:r>
    </w:p>
    <w:p>
      <w:pPr>
        <w:pStyle w:val="22"/>
        <w:spacing w:line="360" w:lineRule="auto"/>
        <w:ind w:left="1069" w:firstLine="0"/>
        <w:rPr>
          <w:sz w:val="28"/>
          <w:lang w:val="en-US"/>
        </w:rPr>
      </w:pPr>
      <w:r>
        <w:rPr>
          <w:sz w:val="28"/>
          <w:lang w:val="en-US"/>
        </w:rPr>
        <w:t xml:space="preserve">A: </w:t>
      </w:r>
      <w:r>
        <w:rPr>
          <w:sz w:val="28"/>
        </w:rPr>
        <w:t>Коэффициент фазы</w:t>
      </w:r>
      <w:r>
        <w:rPr>
          <w:sz w:val="28"/>
          <w:lang w:val="en-US"/>
        </w:rPr>
        <w:t>:</w:t>
      </w:r>
    </w:p>
    <w:p>
      <w:pPr>
        <w:pStyle w:val="22"/>
        <w:spacing w:line="360" w:lineRule="auto"/>
        <w:ind w:left="1069" w:firstLine="0"/>
        <w:rPr>
          <w:i/>
          <w:sz w:val="28"/>
          <w:lang w:val="en-US"/>
        </w:rPr>
      </w:pPr>
      <m:oMathPara>
        <m:oMath>
          <m:r>
            <m:rPr/>
            <w:rPr>
              <w:rFonts w:ascii="Cambria Math" w:hAnsi="Cambria Math"/>
            </w:rPr>
            <m:t>β=</m:t>
          </m:r>
          <m:f>
            <m:fPr/>
            <m:num>
              <m:r>
                <m:rPr/>
                <w:rPr>
                  <w:rFonts w:ascii="Cambria Math" w:hAnsi="Cambria Math"/>
                </w:rPr>
                <m:t>1</m:t>
              </m:r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d>
            <m:d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ψ</m:t>
                  </m:r>
                </m:e>
                <m: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m:rPr/>
                <w:rPr>
                  <w:rFonts w:ascii="Cambria Math" w:hAnsi="Cambria Math"/>
                </w:rPr>
                <m:t>−</m:t>
              </m:r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ψ</m:t>
                  </m:r>
                </m:e>
                <m: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e>
          </m:d>
          <m:r>
            <m:rPr/>
            <w:rPr>
              <w:rFonts w:ascii="Cambria Math" w:hAnsi="Cambria Math"/>
            </w:rPr>
            <m:t>+</m:t>
          </m:r>
          <m:f>
            <m:fPr/>
            <m:num>
              <m:r>
                <m:rPr/>
                <w:rPr>
                  <w:rFonts w:ascii="Cambria Math" w:hAnsi="Cambria Math"/>
                </w:rPr>
                <m:t>1</m:t>
              </m:r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d>
            <m:d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ψ</m:t>
                  </m:r>
                </m:e>
                <m: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m:rPr/>
                <w:rPr>
                  <w:rFonts w:ascii="Cambria Math" w:hAnsi="Cambria Math"/>
                </w:rPr>
                <m:t>−</m:t>
              </m:r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ψ</m:t>
                  </m:r>
                </m:e>
                <m:sub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e>
          </m:d>
        </m:oMath>
      </m:oMathPara>
    </w:p>
    <w:p>
      <w:pPr>
        <w:pStyle w:val="22"/>
        <w:spacing w:line="360" w:lineRule="auto"/>
        <w:ind w:left="1069" w:firstLine="0"/>
        <w:rPr>
          <w:iCs/>
          <w:sz w:val="28"/>
        </w:rPr>
      </w:pPr>
      <w:r>
        <w:rPr>
          <w:iCs/>
          <w:sz w:val="28"/>
        </w:rPr>
        <w:t xml:space="preserve">где </w:t>
      </w:r>
      <m:oMath>
        <m:sSub>
          <m:sSubPr/>
          <m:e>
            <m:r>
              <m:rPr/>
              <w:rPr>
                <w:rFonts w:ascii="Cambria Math" w:hAnsi="Cambria Math"/>
              </w:rPr>
              <m:t>ψ</m:t>
            </m:r>
          </m:e>
          <m:sub>
            <m:sSub>
              <m:sSubPr/>
              <m:e>
                <m:r>
                  <m:rPr/>
                  <w:rPr>
                    <w:rFonts w:ascii="Cambria Math" w:hAnsi="Cambria Math"/>
                  </w:rPr>
                  <m:t>u</m:t>
                </m: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m:rPr/>
          <w:rPr>
            <w:rFonts w:ascii="Cambria Math" w:hAnsi="Cambria Math"/>
          </w:rPr>
          <m:t>−</m:t>
        </m:r>
        <m:sSub>
          <m:sSubPr/>
          <m:e>
            <m:r>
              <m:rPr/>
              <w:rPr>
                <w:rFonts w:ascii="Cambria Math" w:hAnsi="Cambria Math"/>
              </w:rPr>
              <m:t>ψ</m:t>
            </m:r>
          </m:e>
          <m:sub>
            <m:sSub>
              <m:sSubPr/>
              <m:e>
                <m:r>
                  <m:rPr/>
                  <w:rPr>
                    <w:rFonts w:ascii="Cambria Math" w:hAnsi="Cambria Math"/>
                  </w:rPr>
                  <m:t>u</m:t>
                </m: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sz w:val="28"/>
        </w:rPr>
        <w:t xml:space="preserve"> – разность фаз входного и выходного напряжений, </w:t>
      </w:r>
      <m:oMath>
        <m:sSub>
          <m:sSubPr/>
          <m:e>
            <m:r>
              <m:rPr/>
              <w:rPr>
                <w:rFonts w:ascii="Cambria Math" w:hAnsi="Cambria Math"/>
              </w:rPr>
              <m:t>ψ</m:t>
            </m:r>
          </m:e>
          <m:sub>
            <m:sSub>
              <m:sSubPr/>
              <m:e>
                <m:r>
                  <m:rPr/>
                  <w:rPr>
                    <w:rFonts w:ascii="Cambria Math" w:hAnsi="Cambria Math"/>
                  </w:rPr>
                  <m:t>i</m:t>
                </m: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m:rPr/>
          <w:rPr>
            <w:rFonts w:ascii="Cambria Math" w:hAnsi="Cambria Math"/>
          </w:rPr>
          <m:t>−</m:t>
        </m:r>
        <m:sSub>
          <m:sSubPr/>
          <m:e>
            <m:r>
              <m:rPr/>
              <w:rPr>
                <w:rFonts w:ascii="Cambria Math" w:hAnsi="Cambria Math"/>
              </w:rPr>
              <m:t>ψ</m:t>
            </m:r>
          </m:e>
          <m:sub>
            <m:sSub>
              <m:sSubPr/>
              <m:e>
                <m:r>
                  <m:rPr/>
                  <w:rPr>
                    <w:rFonts w:ascii="Cambria Math" w:hAnsi="Cambria Math"/>
                  </w:rPr>
                  <m:t>i</m:t>
                </m: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sz w:val="28"/>
        </w:rPr>
        <w:t xml:space="preserve"> – входного и выходного токов.</w:t>
      </w:r>
    </w:p>
    <w:p>
      <w:pPr>
        <w:pStyle w:val="22"/>
        <w:spacing w:line="360" w:lineRule="auto"/>
        <w:ind w:left="1069" w:firstLine="0"/>
        <w:rPr>
          <w:sz w:val="28"/>
        </w:rPr>
      </w:pPr>
    </w:p>
    <w:p>
      <w:pPr>
        <w:pStyle w:val="22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>
        <w:rPr>
          <w:sz w:val="28"/>
        </w:rPr>
        <w:t xml:space="preserve">: Чему равны </w:t>
      </w:r>
      <m:oMath>
        <m:r>
          <m:rPr/>
          <w:rPr>
            <w:rFonts w:ascii="Cambria Math" w:hAnsi="Cambria Math"/>
          </w:rPr>
          <m:t>cℎg</m:t>
        </m:r>
      </m:oMath>
      <w:r>
        <w:rPr>
          <w:sz w:val="28"/>
        </w:rPr>
        <w:t xml:space="preserve"> и </w:t>
      </w:r>
      <m:oMath>
        <m:r>
          <m:rPr/>
          <w:rPr>
            <w:rFonts w:ascii="Cambria Math" w:hAnsi="Cambria Math"/>
          </w:rPr>
          <m:t>sℎg</m:t>
        </m:r>
      </m:oMath>
      <w:r>
        <w:rPr>
          <w:sz w:val="28"/>
        </w:rPr>
        <w:t>?</w:t>
      </w:r>
    </w:p>
    <w:p>
      <w:pPr>
        <w:pStyle w:val="22"/>
        <w:spacing w:line="360" w:lineRule="auto"/>
        <w:ind w:left="1069" w:firstLine="0"/>
        <w:rPr>
          <w:sz w:val="28"/>
        </w:rPr>
      </w:pPr>
      <w:r>
        <w:rPr>
          <w:sz w:val="28"/>
          <w:lang w:val="en-US"/>
        </w:rPr>
        <w:t>A</w:t>
      </w:r>
      <w:r>
        <w:rPr>
          <w:sz w:val="28"/>
        </w:rPr>
        <w:t xml:space="preserve">: Запишем выражения постоянной передачи через </w:t>
      </w:r>
      <w:r>
        <w:rPr>
          <w:sz w:val="28"/>
          <w:lang w:val="en-US"/>
        </w:rPr>
        <w:t>A</w:t>
      </w:r>
      <w:r>
        <w:rPr>
          <w:sz w:val="28"/>
        </w:rPr>
        <w:t>-параметры:</w:t>
      </w:r>
    </w:p>
    <w:p>
      <w:pPr>
        <w:pStyle w:val="22"/>
        <w:spacing w:line="360" w:lineRule="auto"/>
        <w:ind w:left="1069" w:firstLine="0"/>
        <w:rPr>
          <w:i/>
          <w:sz w:val="28"/>
          <w:lang w:val="en-US"/>
        </w:rPr>
      </w:pPr>
      <m:oMathPara>
        <m:oMath>
          <m:bar>
            <m:bar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m:rPr/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bar>
          <m:r>
            <m:rPr/>
            <w:rPr>
              <w:rFonts w:ascii="Cambria Math" w:hAnsi="Cambria Math"/>
            </w:rPr>
            <m:t>=ln</m:t>
          </m:r>
          <m:d>
            <m:dPr/>
            <m:e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</m:e>
          </m:d>
        </m:oMath>
      </m:oMathPara>
    </w:p>
    <w:p>
      <w:pPr>
        <w:spacing w:line="360" w:lineRule="auto"/>
        <w:rPr>
          <w:iCs/>
          <w:sz w:val="28"/>
        </w:rPr>
      </w:pP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Cs/>
          <w:sz w:val="28"/>
        </w:rPr>
        <w:t>Добавим экспоненту справа и слева:</w:t>
      </w:r>
    </w:p>
    <w:p>
      <w:pPr>
        <w:pStyle w:val="22"/>
        <w:spacing w:line="360" w:lineRule="auto"/>
        <w:ind w:left="1069" w:firstLine="0"/>
        <w:rPr>
          <w:i/>
          <w:sz w:val="28"/>
          <w:lang w:val="en-US"/>
        </w:rPr>
      </w:pPr>
      <m:oMathPara>
        <m:oMath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bar>
                <m:barPr/>
                <m:e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с</m:t>
                      </m:r>
                    </m:sub>
                  </m:sSub>
                </m:e>
              </m:bar>
            </m:sup>
          </m:sSup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</m:bar>
                </m:den>
              </m:f>
            </m:e>
          </m:rad>
          <m:r>
            <m:rPr/>
            <w:rPr>
              <w:rFonts w:ascii="Cambria Math" w:hAnsi="Cambria Math"/>
            </w:rPr>
            <m:t>+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bar>
                </m:den>
              </m:f>
            </m:e>
          </m:rad>
        </m:oMath>
      </m:oMathPara>
    </w:p>
    <w:p>
      <w:pPr>
        <w:pStyle w:val="22"/>
        <w:spacing w:line="360" w:lineRule="auto"/>
        <w:ind w:left="1069" w:firstLine="0"/>
        <w:rPr>
          <w:i/>
          <w:sz w:val="28"/>
          <w:lang w:val="en-US"/>
        </w:rPr>
      </w:pPr>
      <m:oMathPara>
        <m:oMath>
          <m:sSup>
            <m:sSupPr/>
            <m:e>
              <m:r>
                <m:rPr/>
                <w:rPr>
                  <w:rFonts w:ascii="Cambria Math" w:hAnsi="Cambria Math"/>
                </w:rPr>
                <m:t>e</m:t>
              </m:r>
            </m:e>
            <m:sup>
              <m:r>
                <m:rPr/>
                <w:rPr>
                  <w:rFonts w:ascii="Cambria Math" w:hAnsi="Cambria Math"/>
                </w:rPr>
                <m:t>−</m:t>
              </m:r>
              <m:bar>
                <m:barPr/>
                <m:e>
                  <m:sSub>
                    <m:sSubPr/>
                    <m:e>
                      <m:r>
                        <m:rPr/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с</m:t>
                      </m:r>
                    </m:sub>
                  </m:sSub>
                </m:e>
              </m:bar>
            </m:sup>
          </m:sSup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</m:bar>
                </m:den>
              </m:f>
            </m:e>
          </m:rad>
          <m:r>
            <m:rPr/>
            <w:rPr>
              <w:rFonts w:ascii="Cambria Math" w:hAnsi="Cambria Math"/>
            </w:rPr>
            <m:t>−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bar>
                </m:den>
              </m:f>
            </m:e>
          </m:rad>
        </m:oMath>
      </m:oMathPara>
    </w:p>
    <w:p>
      <w:pPr>
        <w:pStyle w:val="22"/>
        <w:spacing w:line="360" w:lineRule="auto"/>
        <w:ind w:left="1069" w:firstLine="0"/>
        <w:rPr>
          <w:i/>
          <w:sz w:val="28"/>
          <w:lang w:val="en-US"/>
        </w:rPr>
      </w:pPr>
    </w:p>
    <w:p>
      <w:pPr>
        <w:spacing w:line="360" w:lineRule="auto"/>
        <w:ind w:left="708" w:firstLine="708"/>
        <w:rPr>
          <w:iCs/>
          <w:sz w:val="28"/>
        </w:rPr>
      </w:pPr>
      <w:r>
        <w:rPr>
          <w:iCs/>
          <w:sz w:val="28"/>
        </w:rPr>
        <w:t>Преобразуем с помощью выражений для гиперболических функций:</w:t>
      </w:r>
    </w:p>
    <w:p>
      <w:pPr>
        <w:spacing w:line="360" w:lineRule="auto"/>
        <w:ind w:left="708" w:firstLine="708"/>
        <w:rPr>
          <w:i/>
          <w:sz w:val="28"/>
          <w:lang w:val="en-US"/>
        </w:rPr>
      </w:pPr>
      <m:oMathPara>
        <m:oMath>
          <m:r>
            <m:rPr/>
            <w:rPr>
              <w:rFonts w:ascii="Cambria Math" w:hAnsi="Cambria Math"/>
            </w:rPr>
            <m:t>sℎx=</m:t>
          </m:r>
          <m:f>
            <m:fPr/>
            <m:num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m:rPr/>
                <w:rPr>
                  <w:rFonts w:ascii="Cambria Math" w:hAnsi="Cambria Math"/>
                </w:rPr>
                <m:t>−</m:t>
              </m:r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−x</m:t>
                  </m:r>
                </m:sup>
              </m:sSup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→sℎ</m:t>
          </m:r>
          <m:bar>
            <m:bar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m:rPr/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bar>
          <m:r>
            <m:rPr/>
            <w:rPr>
              <w:rFonts w:ascii="Cambria Math" w:hAnsi="Cambria Math"/>
            </w:rPr>
            <m:t>=</m:t>
          </m:r>
          <m:f>
            <m:fPr/>
            <m:num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с</m:t>
                          </m:r>
                        </m:sub>
                      </m:sSub>
                    </m:e>
                  </m:bar>
                </m:sup>
              </m:sSup>
              <m:r>
                <m:rPr/>
                <w:rPr>
                  <w:rFonts w:ascii="Cambria Math" w:hAnsi="Cambria Math"/>
                </w:rPr>
                <m:t>−</m:t>
              </m:r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−</m:t>
                  </m:r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с</m:t>
                          </m:r>
                        </m:sub>
                      </m:sSub>
                    </m:e>
                  </m:bar>
                </m:sup>
              </m:sSup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=</m:t>
          </m:r>
          <m:f>
            <m:fPr/>
            <m:num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−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bar>
                </m:den>
              </m:f>
            </m:e>
          </m:rad>
        </m:oMath>
      </m:oMathPara>
    </w:p>
    <w:p>
      <w:pPr>
        <w:spacing w:line="360" w:lineRule="auto"/>
        <w:ind w:left="708" w:firstLine="708"/>
        <w:rPr>
          <w:i/>
          <w:iCs/>
          <w:sz w:val="28"/>
          <w:lang w:val="en-US"/>
        </w:rPr>
      </w:pPr>
      <m:oMathPara>
        <m:oMath>
          <m:r>
            <m:rPr/>
            <w:rPr>
              <w:rFonts w:ascii="Cambria Math" w:hAnsi="Cambria Math"/>
            </w:rPr>
            <m:t>cℎx=</m:t>
          </m:r>
          <m:f>
            <m:fPr/>
            <m:num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m:rPr/>
                <w:rPr>
                  <w:rFonts w:ascii="Cambria Math" w:hAnsi="Cambria Math"/>
                </w:rPr>
                <m:t>+</m:t>
              </m:r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−x</m:t>
                  </m:r>
                </m:sup>
              </m:sSup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→cℎ</m:t>
          </m:r>
          <m:bar>
            <m:barPr/>
            <m:e>
              <m:sSub>
                <m:sSubPr/>
                <m:e>
                  <m:r>
                    <m:rPr/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m:rPr/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bar>
          <m:r>
            <m:rPr/>
            <w:rPr>
              <w:rFonts w:ascii="Cambria Math" w:hAnsi="Cambria Math"/>
            </w:rPr>
            <m:t>=</m:t>
          </m:r>
          <m:f>
            <m:fPr/>
            <m:num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с</m:t>
                          </m:r>
                        </m:sub>
                      </m:sSub>
                    </m:e>
                  </m:bar>
                </m:sup>
              </m:sSup>
              <m:r>
                <m:rPr/>
                <w:rPr>
                  <w:rFonts w:ascii="Cambria Math" w:hAnsi="Cambria Math"/>
                </w:rPr>
                <m:t>+</m:t>
              </m:r>
              <m:sSup>
                <m:sSupPr/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/>
                    <w:rPr>
                      <w:rFonts w:ascii="Cambria Math" w:hAnsi="Cambria Math"/>
                    </w:rPr>
                    <m:t>−</m:t>
                  </m:r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с</m:t>
                          </m:r>
                        </m:sub>
                      </m:sSub>
                    </m:e>
                  </m:bar>
                </m:sup>
              </m:sSup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=</m:t>
          </m:r>
          <m:f>
            <m:fPr/>
            <m:num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  <m:r>
                <m:rPr/>
                <w:rPr>
                  <w:rFonts w:ascii="Cambria Math" w:hAnsi="Cambria Math"/>
                </w:rPr>
                <m:t>−</m:t>
              </m:r>
              <m:rad>
                <m:radPr>
                  <m:degHide m:val="1"/>
                </m:radPr>
                <m:deg/>
                <m:e>
                  <m:f>
                    <m:fPr/>
                    <m:num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bar>
                    </m:num>
                    <m:den>
                      <m:bar>
                        <m:barPr/>
                        <m:e>
                          <m:sSub>
                            <m:sSubPr/>
                            <m:e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</m:bar>
                    </m:den>
                  </m:f>
                </m:e>
              </m:rad>
            </m:num>
            <m:den>
              <m:r>
                <m:rPr/>
                <w:rPr>
                  <w:rFonts w:ascii="Cambria Math" w:hAnsi="Cambria Math"/>
                </w:rPr>
                <m:t>2</m:t>
              </m:r>
            </m:den>
          </m:f>
          <m:r>
            <m:rPr/>
            <w:rPr>
              <w:rFonts w:ascii="Cambria Math" w:hAnsi="Cambria Math"/>
            </w:rPr>
            <m:t>=</m:t>
          </m:r>
          <m:rad>
            <m:radPr>
              <m:degHide m:val="1"/>
            </m:radPr>
            <m:deg/>
            <m:e>
              <m:f>
                <m:fPr/>
                <m:num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</m:bar>
                </m:num>
                <m:den>
                  <m:bar>
                    <m:barPr/>
                    <m:e>
                      <m:sSub>
                        <m:sSubPr/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</m:bar>
                </m:den>
              </m:f>
            </m:e>
          </m:rad>
        </m:oMath>
      </m:oMathPara>
    </w:p>
    <w:p>
      <w:pPr>
        <w:spacing w:line="360" w:lineRule="auto"/>
        <w:ind w:left="708" w:firstLine="708"/>
        <w:rPr>
          <w:i/>
          <w:iCs/>
          <w:sz w:val="28"/>
          <w:lang w:val="en-US"/>
        </w:rPr>
      </w:pPr>
    </w:p>
    <w:p>
      <w:pPr>
        <w:spacing w:line="360" w:lineRule="auto"/>
        <w:rPr>
          <w:iCs/>
          <w:sz w:val="28"/>
        </w:rPr>
      </w:pPr>
    </w:p>
    <w:p>
      <w:pPr>
        <w:pStyle w:val="22"/>
        <w:spacing w:line="360" w:lineRule="auto"/>
        <w:ind w:left="1069" w:firstLine="0"/>
        <w:rPr>
          <w:i/>
          <w:sz w:val="28"/>
        </w:rPr>
      </w:pPr>
    </w:p>
    <w:p>
      <w:pPr>
        <w:pStyle w:val="22"/>
        <w:spacing w:line="360" w:lineRule="auto"/>
        <w:ind w:left="1069" w:firstLine="0"/>
        <w:rPr>
          <w:sz w:val="28"/>
        </w:rPr>
      </w:pPr>
    </w:p>
    <w:p>
      <w:pPr>
        <w:spacing w:line="360" w:lineRule="auto"/>
        <w:ind w:left="709" w:firstLine="0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</w:p>
    <w:sectPr>
      <w:footerReference r:id="rId5" w:type="default"/>
      <w:pgSz w:w="11906" w:h="16838"/>
      <w:pgMar w:top="1134" w:right="851" w:bottom="1134" w:left="1701" w:header="0" w:footer="709" w:gutter="0"/>
      <w:pgNumType w:fmt="decimal"/>
      <w:cols w:space="720" w:num="1"/>
      <w:formProt w:val="0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CC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roma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roman"/>
    <w:pitch w:val="default"/>
    <w:sig w:usb0="E4002EFF" w:usb1="C000E47F" w:usb2="00000009" w:usb3="00000000" w:csb0="200001FF" w:csb1="00000000"/>
  </w:font>
  <w:font w:name="Liberation Sans">
    <w:altName w:val="Arial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86275100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069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789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509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229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949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669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389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109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4BEB03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 w:line="240" w:lineRule="auto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qFormat/>
    <w:uiPriority w:val="0"/>
    <w:rPr>
      <w:rFonts w:ascii="Segoe UI" w:hAnsi="Segoe UI" w:cs="Segoe UI"/>
      <w:sz w:val="18"/>
      <w:szCs w:val="18"/>
    </w:r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6">
    <w:name w:val="header"/>
    <w:basedOn w:val="1"/>
    <w:unhideWhenUsed/>
    <w:uiPriority w:val="99"/>
    <w:pPr>
      <w:tabs>
        <w:tab w:val="center" w:pos="4677"/>
        <w:tab w:val="right" w:pos="9355"/>
      </w:tabs>
    </w:pPr>
  </w:style>
  <w:style w:type="paragraph" w:styleId="7">
    <w:name w:val="Body Text"/>
    <w:basedOn w:val="1"/>
    <w:uiPriority w:val="0"/>
    <w:pPr>
      <w:spacing w:before="0" w:after="140" w:line="276" w:lineRule="auto"/>
    </w:pPr>
  </w:style>
  <w:style w:type="paragraph" w:styleId="8">
    <w:name w:val="footer"/>
    <w:basedOn w:val="1"/>
    <w:unhideWhenUsed/>
    <w:uiPriority w:val="99"/>
    <w:pPr>
      <w:tabs>
        <w:tab w:val="center" w:pos="4677"/>
        <w:tab w:val="right" w:pos="9355"/>
      </w:tabs>
    </w:pPr>
  </w:style>
  <w:style w:type="paragraph" w:styleId="9">
    <w:name w:val="List"/>
    <w:basedOn w:val="7"/>
    <w:uiPriority w:val="0"/>
    <w:rPr>
      <w:rFonts w:cs="Lucida Sans"/>
    </w:rPr>
  </w:style>
  <w:style w:type="paragraph" w:styleId="10">
    <w:name w:val="HTML Preformatted"/>
    <w:basedOn w:val="1"/>
    <w:link w:val="1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11">
    <w:name w:val="Table Grid"/>
    <w:basedOn w:val="3"/>
    <w:qFormat/>
    <w:uiPriority w:val="39"/>
    <w:pPr>
      <w:spacing w:after="0" w:line="240" w:lineRule="auto"/>
    </w:pPr>
    <w:rPr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Основной текст_"/>
    <w:qFormat/>
    <w:uiPriority w:val="0"/>
    <w:rPr>
      <w:spacing w:val="6"/>
      <w:sz w:val="23"/>
      <w:szCs w:val="23"/>
      <w:shd w:val="clear" w:fill="FFFFFF"/>
    </w:rPr>
  </w:style>
  <w:style w:type="character" w:customStyle="1" w:styleId="13">
    <w:name w:val="Стандартный HTML Знак"/>
    <w:basedOn w:val="2"/>
    <w:link w:val="10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14">
    <w:name w:val="Текст выноски Знак"/>
    <w:basedOn w:val="2"/>
    <w:qFormat/>
    <w:uiPriority w:val="0"/>
    <w:rPr>
      <w:rFonts w:ascii="Segoe UI" w:hAnsi="Segoe UI" w:eastAsia="Times New Roman" w:cs="Segoe UI"/>
      <w:sz w:val="18"/>
      <w:szCs w:val="18"/>
      <w:lang w:eastAsia="ru-RU"/>
    </w:rPr>
  </w:style>
  <w:style w:type="character" w:styleId="15">
    <w:name w:val="Placeholder Text"/>
    <w:basedOn w:val="2"/>
    <w:semiHidden/>
    <w:qFormat/>
    <w:uiPriority w:val="99"/>
    <w:rPr>
      <w:color w:val="808080"/>
    </w:rPr>
  </w:style>
  <w:style w:type="character" w:customStyle="1" w:styleId="16">
    <w:name w:val="Верхний колонтитул Знак"/>
    <w:basedOn w:val="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7">
    <w:name w:val="Нижний колонтитул Знак"/>
    <w:basedOn w:val="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Символ нумерации"/>
    <w:qFormat/>
    <w:uiPriority w:val="0"/>
  </w:style>
  <w:style w:type="paragraph" w:customStyle="1" w:styleId="19">
    <w:name w:val="Заголовок"/>
    <w:basedOn w:val="1"/>
    <w:next w:val="7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customStyle="1" w:styleId="20">
    <w:name w:val="Указатель1"/>
    <w:basedOn w:val="1"/>
    <w:qFormat/>
    <w:uiPriority w:val="0"/>
    <w:pPr>
      <w:suppressLineNumbers/>
    </w:pPr>
    <w:rPr>
      <w:rFonts w:cs="Lucida Sans"/>
    </w:rPr>
  </w:style>
  <w:style w:type="paragraph" w:customStyle="1" w:styleId="21">
    <w:name w:val="Основной текст20"/>
    <w:basedOn w:val="1"/>
    <w:qFormat/>
    <w:uiPriority w:val="0"/>
    <w:pPr>
      <w:widowControl w:val="0"/>
      <w:shd w:val="clear" w:color="auto" w:fill="FFFFFF"/>
      <w:spacing w:before="120" w:after="120" w:line="298" w:lineRule="exact"/>
      <w:ind w:hanging="300"/>
    </w:pPr>
    <w:rPr>
      <w:rFonts w:asciiTheme="minorHAnsi" w:hAnsiTheme="minorHAnsi" w:eastAsiaTheme="minorHAnsi" w:cstheme="minorBidi"/>
      <w:spacing w:val="6"/>
      <w:sz w:val="23"/>
      <w:szCs w:val="23"/>
      <w:lang w:eastAsia="en-US"/>
    </w:rPr>
  </w:style>
  <w:style w:type="paragraph" w:styleId="22">
    <w:name w:val="List Paragraph"/>
    <w:basedOn w:val="1"/>
    <w:qFormat/>
    <w:uiPriority w:val="34"/>
    <w:pPr>
      <w:spacing w:before="0" w:after="0"/>
      <w:ind w:left="720" w:firstLine="0"/>
      <w:contextualSpacing/>
    </w:pPr>
  </w:style>
  <w:style w:type="paragraph" w:customStyle="1" w:styleId="23">
    <w:name w:val="Верхний и нижний колонтитулы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389</Words>
  <Characters>2670</Characters>
  <Paragraphs>107</Paragraphs>
  <TotalTime>780</TotalTime>
  <ScaleCrop>false</ScaleCrop>
  <LinksUpToDate>false</LinksUpToDate>
  <CharactersWithSpaces>2982</CharactersWithSpaces>
  <Application>WPS Office_11.2.0.11042_F1E327BC-269C-435d-A152-05C5408002CA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2021-05-18T15:13:00Z</dcterms:created>
  <dc:creator>admin</dc:creator>
  <cp:lastModifiedBy>khost</cp:lastModifiedBy>
  <dcterms:modified xsi:type="dcterms:W3CDTF">2022-04-04T08:48:02Z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1049-11.2.0.11042</vt:lpwstr>
  </property>
  <property fmtid="{D5CDD505-2E9C-101B-9397-08002B2CF9AE}" pid="9" name="ICV">
    <vt:lpwstr>B944E41B19A54E6290E497BEF34BAAFD</vt:lpwstr>
  </property>
</Properties>
</file>